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7"/>
        <w:spacing w:line="240" w:lineRule="auto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Договор № ______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jc w:val="both"/>
        <w:rPr>
          <w:rFonts w:ascii="PT Astra Serif" w:hAnsi="PT Astra Serif" w:cs="PT Astra Serif"/>
          <w:b/>
          <w:caps/>
          <w:sz w:val="20"/>
          <w:szCs w:val="20"/>
        </w:rPr>
        <w:outlineLvl w:val="0"/>
      </w:pPr>
      <w:r>
        <w:rPr>
          <w:rFonts w:ascii="PT Astra Serif" w:hAnsi="PT Astra Serif" w:cs="PT Astra Serif"/>
          <w:b/>
          <w:caps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6"/>
        <w:jc w:val="left"/>
        <w:keepNext w:val="0"/>
        <w:rPr>
          <w:rFonts w:ascii="PT Astra Serif" w:hAnsi="PT Astra Serif" w:cs="PT Astra Serif"/>
          <w:b w:val="0"/>
          <w:sz w:val="20"/>
          <w:szCs w:val="20"/>
        </w:rPr>
      </w:pPr>
      <w:r>
        <w:rPr>
          <w:rFonts w:ascii="PT Astra Serif" w:hAnsi="PT Astra Serif" w:cs="PT Astra Serif"/>
          <w:b w:val="0"/>
          <w:sz w:val="20"/>
          <w:szCs w:val="20"/>
        </w:rPr>
        <w:t xml:space="preserve">г. Саратов</w:t>
        <w:tab/>
        <w:t xml:space="preserve">    </w:t>
        <w:tab/>
        <w:tab/>
        <w:tab/>
        <w:tab/>
        <w:tab/>
        <w:t xml:space="preserve">                                               «___» ____</w:t>
      </w:r>
      <w:r>
        <w:rPr>
          <w:rFonts w:ascii="PT Astra Serif" w:hAnsi="PT Astra Serif" w:cs="PT Astra Serif"/>
          <w:b w:val="0"/>
          <w:sz w:val="20"/>
          <w:szCs w:val="20"/>
        </w:rPr>
        <w:t xml:space="preserve">____</w:t>
      </w:r>
      <w:r>
        <w:rPr>
          <w:rFonts w:ascii="PT Astra Serif" w:hAnsi="PT Astra Serif" w:cs="PT Astra Serif"/>
          <w:b w:val="0"/>
          <w:sz w:val="20"/>
          <w:szCs w:val="20"/>
        </w:rPr>
        <w:t xml:space="preserve">___ 20</w:t>
      </w:r>
      <w:r>
        <w:rPr>
          <w:rFonts w:ascii="PT Astra Serif" w:hAnsi="PT Astra Serif" w:cs="PT Astra Serif"/>
          <w:b w:val="0"/>
          <w:sz w:val="20"/>
          <w:szCs w:val="20"/>
        </w:rPr>
        <w:t xml:space="preserve">2</w:t>
      </w:r>
      <w:r>
        <w:rPr>
          <w:rFonts w:ascii="PT Astra Serif" w:hAnsi="PT Astra Serif" w:cs="PT Astra Serif"/>
          <w:b w:val="0"/>
          <w:sz w:val="20"/>
          <w:szCs w:val="20"/>
          <w:highlight w:val="yellow"/>
        </w:rPr>
        <w:t xml:space="preserve">_</w:t>
      </w:r>
      <w:r>
        <w:rPr>
          <w:rFonts w:ascii="PT Astra Serif" w:hAnsi="PT Astra Serif" w:cs="PT Astra Serif"/>
          <w:b w:val="0"/>
          <w:sz w:val="20"/>
          <w:szCs w:val="20"/>
          <w:highlight w:val="yellow"/>
        </w:rPr>
        <w:t xml:space="preserve"> </w:t>
      </w:r>
      <w:r>
        <w:rPr>
          <w:rFonts w:ascii="PT Astra Serif" w:hAnsi="PT Astra Serif" w:cs="PT Astra Serif"/>
          <w:b w:val="0"/>
          <w:sz w:val="20"/>
          <w:szCs w:val="20"/>
        </w:rPr>
        <w:t xml:space="preserve">года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Министерство финансов Саратовской области</w:t>
      </w:r>
      <w:r>
        <w:rPr>
          <w:rFonts w:ascii="PT Astra Serif" w:hAnsi="PT Astra Serif" w:cs="PT Astra Serif"/>
          <w:sz w:val="20"/>
          <w:szCs w:val="20"/>
        </w:rPr>
        <w:t xml:space="preserve">, именуемое в дальнейшем «</w:t>
      </w:r>
      <w:r>
        <w:rPr>
          <w:rFonts w:ascii="PT Astra Serif" w:hAnsi="PT Astra Serif" w:cs="PT Astra Serif"/>
          <w:b/>
          <w:sz w:val="20"/>
          <w:szCs w:val="20"/>
        </w:rPr>
        <w:t xml:space="preserve">Организатор</w:t>
      </w:r>
      <w:r>
        <w:rPr>
          <w:rFonts w:ascii="PT Astra Serif" w:hAnsi="PT Astra Serif" w:cs="PT Astra Serif"/>
          <w:sz w:val="20"/>
          <w:szCs w:val="20"/>
        </w:rPr>
        <w:t xml:space="preserve">», в </w:t>
      </w:r>
      <w:r>
        <w:rPr>
          <w:rFonts w:ascii="PT Astra Serif" w:hAnsi="PT Astra Serif" w:cs="PT Astra Serif"/>
          <w:sz w:val="20"/>
          <w:szCs w:val="20"/>
        </w:rPr>
        <w:t xml:space="preserve">лице </w:t>
      </w:r>
      <w:r>
        <w:rPr>
          <w:rFonts w:ascii="PT Astra Serif" w:hAnsi="PT Astra Serif" w:cs="PT Astra Serif"/>
          <w:bCs/>
          <w:sz w:val="20"/>
          <w:szCs w:val="20"/>
        </w:rPr>
        <w:t xml:space="preserve">заместителя министра финансов Саратовской области Петькина Евгения Александровича</w:t>
      </w:r>
      <w:r>
        <w:rPr>
          <w:rFonts w:ascii="PT Astra Serif" w:hAnsi="PT Astra Serif" w:cs="PT Astra Serif"/>
          <w:bCs/>
          <w:sz w:val="20"/>
          <w:szCs w:val="20"/>
        </w:rPr>
        <w:t xml:space="preserve">, действующего на основании приказа министерства финансов Саратовской области от 30 декабря 2022 года № 612</w:t>
      </w:r>
      <w:r>
        <w:rPr>
          <w:rFonts w:ascii="PT Astra Serif" w:hAnsi="PT Astra Serif" w:cs="PT Astra Serif"/>
          <w:bCs/>
          <w:sz w:val="20"/>
          <w:szCs w:val="20"/>
        </w:rPr>
        <w:t xml:space="preserve">,</w:t>
      </w:r>
      <w:r>
        <w:rPr>
          <w:rFonts w:ascii="PT Astra Serif" w:hAnsi="PT Astra Serif" w:cs="PT Astra Serif"/>
          <w:sz w:val="20"/>
          <w:szCs w:val="20"/>
          <w:lang w:eastAsia="ar-SA"/>
        </w:rPr>
        <w:t xml:space="preserve"> с одной стороны</w:t>
      </w:r>
      <w:r>
        <w:rPr>
          <w:rFonts w:ascii="PT Astra Serif" w:hAnsi="PT Astra Serif" w:cs="PT Astra Serif"/>
          <w:sz w:val="20"/>
          <w:szCs w:val="20"/>
        </w:rPr>
        <w:t xml:space="preserve">, и 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</w:t>
      </w:r>
      <w:r>
        <w:rPr>
          <w:rFonts w:ascii="PT Astra Serif" w:hAnsi="PT Astra Serif" w:cs="PT Astra Serif"/>
          <w:sz w:val="20"/>
          <w:szCs w:val="20"/>
        </w:rPr>
        <w:t xml:space="preserve">,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именуем</w:t>
      </w:r>
      <w:r>
        <w:rPr>
          <w:rFonts w:ascii="PT Astra Serif" w:hAnsi="PT Astra Serif" w:cs="PT Astra Serif"/>
          <w:sz w:val="20"/>
          <w:szCs w:val="20"/>
        </w:rPr>
        <w:t xml:space="preserve">ое (ый) </w:t>
      </w:r>
      <w:r>
        <w:rPr>
          <w:rFonts w:ascii="PT Astra Serif" w:hAnsi="PT Astra Serif" w:cs="PT Astra Serif"/>
          <w:sz w:val="20"/>
          <w:szCs w:val="20"/>
        </w:rPr>
        <w:t xml:space="preserve">в дальнейшем «</w:t>
      </w:r>
      <w:r>
        <w:rPr>
          <w:rFonts w:ascii="PT Astra Serif" w:hAnsi="PT Astra Serif" w:cs="PT Astra Serif"/>
          <w:b/>
          <w:sz w:val="20"/>
          <w:szCs w:val="20"/>
        </w:rPr>
        <w:t xml:space="preserve">Участник</w:t>
      </w:r>
      <w:r>
        <w:rPr>
          <w:rFonts w:ascii="PT Astra Serif" w:hAnsi="PT Astra Serif" w:cs="PT Astra Serif"/>
          <w:sz w:val="20"/>
          <w:szCs w:val="20"/>
        </w:rPr>
        <w:t xml:space="preserve">», в лице 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</w:t>
      </w:r>
      <w:r>
        <w:rPr>
          <w:rFonts w:ascii="PT Astra Serif" w:hAnsi="PT Astra Serif" w:cs="PT Astra Serif"/>
          <w:sz w:val="20"/>
          <w:szCs w:val="20"/>
        </w:rPr>
        <w:t xml:space="preserve">,</w:t>
      </w:r>
      <w:r>
        <w:rPr>
          <w:rFonts w:ascii="PT Astra Serif" w:hAnsi="PT Astra Serif" w:cs="PT Astra Serif"/>
          <w:sz w:val="20"/>
          <w:szCs w:val="20"/>
        </w:rPr>
        <w:t xml:space="preserve"> действующего на основании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________,</w:t>
      </w:r>
      <w:r>
        <w:rPr>
          <w:rFonts w:ascii="PT Astra Serif" w:hAnsi="PT Astra Serif" w:cs="PT Astra Serif"/>
          <w:sz w:val="20"/>
          <w:szCs w:val="20"/>
        </w:rPr>
        <w:t xml:space="preserve"> с другой стороны,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 </w:t>
      </w:r>
      <w:r>
        <w:rPr>
          <w:rFonts w:ascii="PT Astra Serif" w:hAnsi="PT Astra Serif" w:cs="PT Astra Serif"/>
          <w:bCs/>
          <w:sz w:val="20"/>
          <w:szCs w:val="20"/>
        </w:rPr>
        <w:t xml:space="preserve">со</w:t>
      </w:r>
      <w:r>
        <w:rPr>
          <w:rFonts w:ascii="PT Astra Serif" w:hAnsi="PT Astra Serif" w:cs="PT Astra Serif"/>
          <w:sz w:val="20"/>
          <w:szCs w:val="20"/>
        </w:rPr>
        <w:t xml:space="preserve">вместно именуемые «</w:t>
      </w:r>
      <w:r>
        <w:rPr>
          <w:rFonts w:ascii="PT Astra Serif" w:hAnsi="PT Astra Serif" w:cs="PT Astra Serif"/>
          <w:b/>
          <w:sz w:val="20"/>
          <w:szCs w:val="20"/>
        </w:rPr>
        <w:t xml:space="preserve">Стороны</w:t>
      </w:r>
      <w:r>
        <w:rPr>
          <w:rFonts w:ascii="PT Astra Serif" w:hAnsi="PT Astra Serif" w:cs="PT Astra Serif"/>
          <w:sz w:val="20"/>
          <w:szCs w:val="20"/>
        </w:rPr>
        <w:t xml:space="preserve">», заключили договор о нижеследующем: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1. Предмет договора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i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1.1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В целях осуществления </w:t>
      </w:r>
      <w:r>
        <w:rPr>
          <w:rFonts w:ascii="PT Astra Serif" w:hAnsi="PT Astra Serif" w:cs="PT Astra Serif"/>
          <w:sz w:val="20"/>
          <w:szCs w:val="20"/>
        </w:rPr>
        <w:t xml:space="preserve">электронного обмена документами между Организатором и </w:t>
      </w:r>
      <w:r>
        <w:rPr>
          <w:rFonts w:ascii="PT Astra Serif" w:hAnsi="PT Astra Serif" w:cs="PT Astra Serif"/>
          <w:sz w:val="20"/>
          <w:szCs w:val="20"/>
        </w:rPr>
        <w:t xml:space="preserve">Участник</w:t>
      </w:r>
      <w:r>
        <w:rPr>
          <w:rFonts w:ascii="PT Astra Serif" w:hAnsi="PT Astra Serif" w:cs="PT Astra Serif"/>
          <w:sz w:val="20"/>
          <w:szCs w:val="20"/>
        </w:rPr>
        <w:t xml:space="preserve">ом</w:t>
      </w:r>
      <w:r>
        <w:rPr>
          <w:rFonts w:ascii="PT Astra Serif" w:hAnsi="PT Astra Serif" w:cs="PT Astra Serif"/>
          <w:sz w:val="20"/>
          <w:szCs w:val="20"/>
        </w:rPr>
        <w:t xml:space="preserve">, имеющим электронную </w:t>
      </w:r>
      <w:r>
        <w:rPr>
          <w:rFonts w:ascii="PT Astra Serif" w:hAnsi="PT Astra Serif" w:cs="PT Astra Serif"/>
          <w:sz w:val="20"/>
          <w:szCs w:val="20"/>
        </w:rPr>
        <w:t xml:space="preserve">подпись (далее – Э</w:t>
      </w:r>
      <w:r>
        <w:rPr>
          <w:rFonts w:ascii="PT Astra Serif" w:hAnsi="PT Astra Serif" w:cs="PT Astra Serif"/>
          <w:sz w:val="20"/>
          <w:szCs w:val="20"/>
        </w:rPr>
        <w:t xml:space="preserve">П), Стороны договорились о создании корпоративной информационной системы (далее – Система).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1.2. Стороны в соответствии с Федеральным законом от </w:t>
      </w:r>
      <w:r>
        <w:rPr>
          <w:rFonts w:ascii="PT Astra Serif" w:hAnsi="PT Astra Serif" w:cs="PT Astra Serif"/>
          <w:sz w:val="20"/>
          <w:szCs w:val="20"/>
        </w:rPr>
        <w:t xml:space="preserve">6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апреля</w:t>
      </w:r>
      <w:r>
        <w:rPr>
          <w:rFonts w:ascii="PT Astra Serif" w:hAnsi="PT Astra Serif" w:cs="PT Astra Serif"/>
          <w:sz w:val="20"/>
          <w:szCs w:val="20"/>
        </w:rPr>
        <w:t xml:space="preserve"> 20</w:t>
      </w:r>
      <w:r>
        <w:rPr>
          <w:rFonts w:ascii="PT Astra Serif" w:hAnsi="PT Astra Serif" w:cs="PT Astra Serif"/>
          <w:sz w:val="20"/>
          <w:szCs w:val="20"/>
        </w:rPr>
        <w:t xml:space="preserve">11</w:t>
      </w:r>
      <w:r>
        <w:rPr>
          <w:rFonts w:ascii="PT Astra Serif" w:hAnsi="PT Astra Serif" w:cs="PT Astra Serif"/>
          <w:sz w:val="20"/>
          <w:szCs w:val="20"/>
        </w:rPr>
        <w:t xml:space="preserve"> года № </w:t>
      </w:r>
      <w:r>
        <w:rPr>
          <w:rFonts w:ascii="PT Astra Serif" w:hAnsi="PT Astra Serif" w:cs="PT Astra Serif"/>
          <w:sz w:val="20"/>
          <w:szCs w:val="20"/>
        </w:rPr>
        <w:t xml:space="preserve">63</w:t>
      </w:r>
      <w:r>
        <w:rPr>
          <w:rFonts w:ascii="PT Astra Serif" w:hAnsi="PT Astra Serif" w:cs="PT Astra Serif"/>
          <w:sz w:val="20"/>
          <w:szCs w:val="20"/>
        </w:rPr>
        <w:t xml:space="preserve">-ФЗ «Об электронной подписи» под Системой понимают корпоративную информационную систему, участниками которой может быть ограниченный круг лиц, определенный ее владельцем или соглашением участников этой Системы.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1.3. </w:t>
      </w:r>
      <w:r>
        <w:rPr>
          <w:rFonts w:ascii="PT Astra Serif" w:hAnsi="PT Astra Serif" w:cs="PT Astra Serif"/>
          <w:sz w:val="20"/>
          <w:szCs w:val="20"/>
        </w:rPr>
        <w:t xml:space="preserve">Настоящий Договор регулирует взаимоотношения, определяет права и об</w:t>
      </w:r>
      <w:r>
        <w:rPr>
          <w:rFonts w:ascii="PT Astra Serif" w:hAnsi="PT Astra Serif" w:cs="PT Astra Serif"/>
          <w:sz w:val="20"/>
          <w:szCs w:val="20"/>
        </w:rPr>
        <w:t xml:space="preserve">я</w:t>
      </w:r>
      <w:r>
        <w:rPr>
          <w:rFonts w:ascii="PT Astra Serif" w:hAnsi="PT Astra Serif" w:cs="PT Astra Serif"/>
          <w:sz w:val="20"/>
          <w:szCs w:val="20"/>
        </w:rPr>
        <w:t xml:space="preserve">занности Сторон, возникающие в процессе обме</w:t>
      </w:r>
      <w:r>
        <w:rPr>
          <w:rFonts w:ascii="PT Astra Serif" w:hAnsi="PT Astra Serif" w:cs="PT Astra Serif"/>
          <w:sz w:val="20"/>
          <w:szCs w:val="20"/>
        </w:rPr>
        <w:t xml:space="preserve">на электронными документами с Э</w:t>
      </w:r>
      <w:r>
        <w:rPr>
          <w:rFonts w:ascii="PT Astra Serif" w:hAnsi="PT Astra Serif" w:cs="PT Astra Serif"/>
          <w:sz w:val="20"/>
          <w:szCs w:val="20"/>
        </w:rPr>
        <w:t xml:space="preserve">П между Организатором и Участником при ос</w:t>
      </w:r>
      <w:r>
        <w:rPr>
          <w:rFonts w:ascii="PT Astra Serif" w:hAnsi="PT Astra Serif" w:cs="PT Astra Serif"/>
          <w:sz w:val="20"/>
          <w:szCs w:val="20"/>
        </w:rPr>
        <w:t xml:space="preserve">у</w:t>
      </w:r>
      <w:r>
        <w:rPr>
          <w:rFonts w:ascii="PT Astra Serif" w:hAnsi="PT Astra Serif" w:cs="PT Astra Serif"/>
          <w:sz w:val="20"/>
          <w:szCs w:val="20"/>
        </w:rPr>
        <w:t xml:space="preserve">ществлении операций по лицевым счетам Участника</w:t>
      </w:r>
      <w:r>
        <w:rPr>
          <w:rFonts w:ascii="PT Astra Serif" w:hAnsi="PT Astra Serif" w:cs="PT Astra Serif"/>
          <w:sz w:val="20"/>
          <w:szCs w:val="20"/>
        </w:rPr>
        <w:t xml:space="preserve">,</w:t>
      </w:r>
      <w:r>
        <w:rPr>
          <w:rFonts w:ascii="PT Astra Serif" w:hAnsi="PT Astra Serif" w:cs="PT Astra Serif"/>
          <w:sz w:val="20"/>
          <w:szCs w:val="20"/>
        </w:rPr>
        <w:t xml:space="preserve"> открытым в министерстве финансов Саратовской области</w:t>
      </w:r>
      <w:r>
        <w:rPr>
          <w:rFonts w:ascii="PT Astra Serif" w:hAnsi="PT Astra Serif" w:cs="PT Astra Serif"/>
          <w:sz w:val="20"/>
          <w:szCs w:val="20"/>
        </w:rPr>
        <w:t xml:space="preserve"> (далее – Счета) средствами автоматизированной системы.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color w:val="000000"/>
          <w:spacing w:val="-5"/>
          <w:sz w:val="20"/>
          <w:szCs w:val="20"/>
          <w:highlight w:val="white"/>
        </w:rPr>
        <w:t xml:space="preserve">1.4. В Системе действует Удостоверяющий центр (далее – УЦ),</w:t>
      </w:r>
      <w:r>
        <w:rPr>
          <w:rFonts w:ascii="PT Astra Serif" w:hAnsi="PT Astra Serif" w:cs="PT Astra Serif"/>
          <w:color w:val="000000"/>
          <w:spacing w:val="-5"/>
          <w:sz w:val="20"/>
          <w:szCs w:val="20"/>
        </w:rPr>
        <w:t xml:space="preserve"> осуществляющий деятельность согласно </w:t>
      </w:r>
      <w:r>
        <w:rPr>
          <w:rFonts w:ascii="PT Astra Serif" w:hAnsi="PT Astra Serif" w:cs="PT Astra Serif"/>
          <w:sz w:val="20"/>
          <w:szCs w:val="20"/>
        </w:rPr>
        <w:t xml:space="preserve">Федеральному закону «Об электронной подписи». Перечень, порядок предоставления и стоимость услуг Удостоверяющего центра определяется отдельными договорами.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color w:val="000000"/>
          <w:sz w:val="20"/>
          <w:szCs w:val="20"/>
        </w:rPr>
        <w:t xml:space="preserve">1.5. Стороны признают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, что электронные документы с Э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П, передающиеся в Системе, сформированные в соответствии с требованиями, указанными в настоящем Договоре и законодательстве Российской Федерации, являются равнозначными аналогичным документам на бумажных носителях с собственноручной подписью и печатью.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1.6. Стороны признают используемые ими по настоящему Договору автоматизированные системы (далее – АС), предназначенные для обработки, бюджетного контроля, хранения, защ</w:t>
      </w:r>
      <w:r>
        <w:rPr>
          <w:rFonts w:ascii="PT Astra Serif" w:hAnsi="PT Astra Serif" w:cs="PT Astra Serif"/>
          <w:sz w:val="20"/>
          <w:szCs w:val="20"/>
        </w:rPr>
        <w:t xml:space="preserve">и</w:t>
      </w:r>
      <w:r>
        <w:rPr>
          <w:rFonts w:ascii="PT Astra Serif" w:hAnsi="PT Astra Serif" w:cs="PT Astra Serif"/>
          <w:sz w:val="20"/>
          <w:szCs w:val="20"/>
        </w:rPr>
        <w:t xml:space="preserve">ты и передачи информации, достаточными для обеспечения надежной, эффективной и безопасной р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боты.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2. Права и обязанности сторон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2.1. Организатор обязуется: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2.1.1. Установить, настроить и поддерживать в рабочем состоянии АС для приема, проверки и дальнейшей обработки электронного документа с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2.1.2. Назначить ответственных лиц за поддержание в рабочем состоянии и обеспечивающих безопасность функционирования своей части АС. 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2.1.3. Регулярно получать в УЦ и устанавливать в АС сертификаты открытых ключей ЭП представителя Участника не позднее начала его срока действия.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2.1.4. Регулярно получать в УЦ и устанавливать в АС список отозванных</w:t>
      </w:r>
      <w:r>
        <w:rPr>
          <w:rFonts w:ascii="PT Astra Serif" w:hAnsi="PT Astra Serif" w:cs="PT Astra Serif"/>
          <w:sz w:val="20"/>
          <w:szCs w:val="20"/>
        </w:rPr>
        <w:t xml:space="preserve"> сертификатов открытых ключей Э</w:t>
      </w:r>
      <w:r>
        <w:rPr>
          <w:rFonts w:ascii="PT Astra Serif" w:hAnsi="PT Astra Serif" w:cs="PT Astra Serif"/>
          <w:sz w:val="20"/>
          <w:szCs w:val="20"/>
        </w:rPr>
        <w:t xml:space="preserve">П представителей Участника.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2.1.5. Вести прием электронных документов Участника круглосуточно.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</w:t>
      </w:r>
      <w:r>
        <w:rPr>
          <w:rFonts w:ascii="PT Astra Serif" w:hAnsi="PT Astra Serif" w:cs="PT Astra Serif"/>
          <w:sz w:val="20"/>
          <w:szCs w:val="20"/>
        </w:rPr>
        <w:t xml:space="preserve">6</w:t>
      </w:r>
      <w:r>
        <w:rPr>
          <w:rFonts w:ascii="PT Astra Serif" w:hAnsi="PT Astra Serif" w:cs="PT Astra Serif"/>
          <w:sz w:val="20"/>
          <w:szCs w:val="20"/>
        </w:rPr>
        <w:t xml:space="preserve">. Уведомить Участника о фактах неполучения электронного документа в день о</w:t>
      </w:r>
      <w:r>
        <w:rPr>
          <w:rFonts w:ascii="PT Astra Serif" w:hAnsi="PT Astra Serif" w:cs="PT Astra Serif"/>
          <w:sz w:val="20"/>
          <w:szCs w:val="20"/>
        </w:rPr>
        <w:t xml:space="preserve">т</w:t>
      </w:r>
      <w:r>
        <w:rPr>
          <w:rFonts w:ascii="PT Astra Serif" w:hAnsi="PT Astra Serif" w:cs="PT Astra Serif"/>
          <w:sz w:val="20"/>
          <w:szCs w:val="20"/>
        </w:rPr>
        <w:t xml:space="preserve">правки документа.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</w:t>
      </w:r>
      <w:r>
        <w:rPr>
          <w:rFonts w:ascii="PT Astra Serif" w:hAnsi="PT Astra Serif" w:cs="PT Astra Serif"/>
          <w:sz w:val="20"/>
          <w:szCs w:val="20"/>
        </w:rPr>
        <w:t xml:space="preserve">7</w:t>
      </w:r>
      <w:r>
        <w:rPr>
          <w:rFonts w:ascii="PT Astra Serif" w:hAnsi="PT Astra Serif" w:cs="PT Astra Serif"/>
          <w:sz w:val="20"/>
          <w:szCs w:val="20"/>
        </w:rPr>
        <w:t xml:space="preserve">. Немедленно прекратить прием платежных докуме</w:t>
      </w:r>
      <w:r>
        <w:rPr>
          <w:rFonts w:ascii="PT Astra Serif" w:hAnsi="PT Astra Serif" w:cs="PT Astra Serif"/>
          <w:sz w:val="20"/>
          <w:szCs w:val="20"/>
        </w:rPr>
        <w:t xml:space="preserve">н</w:t>
      </w:r>
      <w:r>
        <w:rPr>
          <w:rFonts w:ascii="PT Astra Serif" w:hAnsi="PT Astra Serif" w:cs="PT Astra Serif"/>
          <w:sz w:val="20"/>
          <w:szCs w:val="20"/>
        </w:rPr>
        <w:t xml:space="preserve">тов с ЭП и связаться с Участником при возникновении подозрений на угрозу н</w:t>
      </w:r>
      <w:r>
        <w:rPr>
          <w:rFonts w:ascii="PT Astra Serif" w:hAnsi="PT Astra Serif" w:cs="PT Astra Serif"/>
          <w:sz w:val="20"/>
          <w:szCs w:val="20"/>
        </w:rPr>
        <w:t xml:space="preserve">е</w:t>
      </w:r>
      <w:r>
        <w:rPr>
          <w:rFonts w:ascii="PT Astra Serif" w:hAnsi="PT Astra Serif" w:cs="PT Astra Serif"/>
          <w:sz w:val="20"/>
          <w:szCs w:val="20"/>
        </w:rPr>
        <w:t xml:space="preserve">санкционированного доступа к расчетам до выяснения обстоятельств произошедшего. Угрозой несанкционированного доступа счит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ется также появление поврежде</w:t>
      </w:r>
      <w:r>
        <w:rPr>
          <w:rFonts w:ascii="PT Astra Serif" w:hAnsi="PT Astra Serif" w:cs="PT Astra Serif"/>
          <w:sz w:val="20"/>
          <w:szCs w:val="20"/>
        </w:rPr>
        <w:t xml:space="preserve">н</w:t>
      </w:r>
      <w:r>
        <w:rPr>
          <w:rFonts w:ascii="PT Astra Serif" w:hAnsi="PT Astra Serif" w:cs="PT Astra Serif"/>
          <w:sz w:val="20"/>
          <w:szCs w:val="20"/>
        </w:rPr>
        <w:t xml:space="preserve">ных документов.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</w:t>
      </w:r>
      <w:r>
        <w:rPr>
          <w:rFonts w:ascii="PT Astra Serif" w:hAnsi="PT Astra Serif" w:cs="PT Astra Serif"/>
          <w:sz w:val="20"/>
          <w:szCs w:val="20"/>
          <w:lang w:val="en-US"/>
        </w:rPr>
        <w:t xml:space="preserve">8</w:t>
      </w:r>
      <w:r>
        <w:rPr>
          <w:rFonts w:ascii="PT Astra Serif" w:hAnsi="PT Astra Serif" w:cs="PT Astra Serif"/>
          <w:sz w:val="20"/>
          <w:szCs w:val="20"/>
        </w:rPr>
        <w:t xml:space="preserve">. Письменно информировать Участника обо всех кадровых перестановках, затрагивающих безопасность функционирования Системы.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</w:t>
      </w:r>
      <w:r>
        <w:rPr>
          <w:rFonts w:ascii="PT Astra Serif" w:hAnsi="PT Astra Serif" w:cs="PT Astra Serif"/>
          <w:sz w:val="20"/>
          <w:szCs w:val="20"/>
        </w:rPr>
        <w:t xml:space="preserve">9</w:t>
      </w:r>
      <w:r>
        <w:rPr>
          <w:rFonts w:ascii="PT Astra Serif" w:hAnsi="PT Astra Serif" w:cs="PT Astra Serif"/>
          <w:sz w:val="20"/>
          <w:szCs w:val="20"/>
        </w:rPr>
        <w:t xml:space="preserve">. Хранить реестр электронных документов с ЭП не менее пяти лет.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</w:t>
      </w:r>
      <w:r>
        <w:rPr>
          <w:rFonts w:ascii="PT Astra Serif" w:hAnsi="PT Astra Serif" w:cs="PT Astra Serif"/>
          <w:sz w:val="20"/>
          <w:szCs w:val="20"/>
          <w:lang w:val="en-US"/>
        </w:rPr>
        <w:t xml:space="preserve">10</w:t>
      </w:r>
      <w:r>
        <w:rPr>
          <w:rFonts w:ascii="PT Astra Serif" w:hAnsi="PT Astra Serif" w:cs="PT Astra Serif"/>
          <w:sz w:val="20"/>
          <w:szCs w:val="20"/>
        </w:rPr>
        <w:t xml:space="preserve">. Осуществлять операции по Счетам Участника на основании электронных документов, поступивших по АС, в порядке, предусмотренном договором на расчетное обслуж</w:t>
      </w:r>
      <w:r>
        <w:rPr>
          <w:rFonts w:ascii="PT Astra Serif" w:hAnsi="PT Astra Serif" w:cs="PT Astra Serif"/>
          <w:sz w:val="20"/>
          <w:szCs w:val="20"/>
        </w:rPr>
        <w:t xml:space="preserve">и</w:t>
      </w:r>
      <w:r>
        <w:rPr>
          <w:rFonts w:ascii="PT Astra Serif" w:hAnsi="PT Astra Serif" w:cs="PT Astra Serif"/>
          <w:sz w:val="20"/>
          <w:szCs w:val="20"/>
        </w:rPr>
        <w:t xml:space="preserve">вание.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2.1.1</w:t>
      </w:r>
      <w:r>
        <w:rPr>
          <w:rFonts w:ascii="PT Astra Serif" w:hAnsi="PT Astra Serif" w:cs="PT Astra Serif"/>
          <w:sz w:val="20"/>
          <w:szCs w:val="20"/>
          <w:lang w:val="en-US"/>
        </w:rPr>
        <w:t xml:space="preserve">1</w:t>
      </w:r>
      <w:r>
        <w:rPr>
          <w:rFonts w:ascii="PT Astra Serif" w:hAnsi="PT Astra Serif" w:cs="PT Astra Serif"/>
          <w:sz w:val="20"/>
          <w:szCs w:val="20"/>
        </w:rPr>
        <w:t xml:space="preserve">. Каждый рабочий день готовить для Участника выписки по Счету (Счетам), при наличии операций по ним.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2.1.1</w:t>
      </w:r>
      <w:r>
        <w:rPr>
          <w:rFonts w:ascii="PT Astra Serif" w:hAnsi="PT Astra Serif" w:cs="PT Astra Serif"/>
          <w:sz w:val="20"/>
          <w:szCs w:val="20"/>
          <w:lang w:val="en-US"/>
        </w:rPr>
        <w:t xml:space="preserve">2</w:t>
      </w:r>
      <w:r>
        <w:rPr>
          <w:rFonts w:ascii="PT Astra Serif" w:hAnsi="PT Astra Serif" w:cs="PT Astra Serif"/>
          <w:sz w:val="20"/>
          <w:szCs w:val="20"/>
        </w:rPr>
        <w:t xml:space="preserve">. Контролировать правильность реквизитов в электронном документе Участника.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2.1.1</w:t>
      </w:r>
      <w:r>
        <w:rPr>
          <w:rFonts w:ascii="PT Astra Serif" w:hAnsi="PT Astra Serif" w:cs="PT Astra Serif"/>
          <w:sz w:val="20"/>
          <w:szCs w:val="20"/>
          <w:lang w:val="en-US"/>
        </w:rPr>
        <w:t xml:space="preserve">3</w:t>
      </w:r>
      <w:r>
        <w:rPr>
          <w:rFonts w:ascii="PT Astra Serif" w:hAnsi="PT Astra Serif" w:cs="PT Astra Serif"/>
          <w:sz w:val="20"/>
          <w:szCs w:val="20"/>
        </w:rPr>
        <w:t xml:space="preserve">. Не пр</w:t>
      </w:r>
      <w:r>
        <w:rPr>
          <w:rFonts w:ascii="PT Astra Serif" w:hAnsi="PT Astra Serif" w:cs="PT Astra Serif"/>
          <w:sz w:val="20"/>
          <w:szCs w:val="20"/>
        </w:rPr>
        <w:t xml:space="preserve">и</w:t>
      </w:r>
      <w:r>
        <w:rPr>
          <w:rFonts w:ascii="PT Astra Serif" w:hAnsi="PT Astra Serif" w:cs="PT Astra Serif"/>
          <w:sz w:val="20"/>
          <w:szCs w:val="20"/>
        </w:rPr>
        <w:t xml:space="preserve">нимать к исполнению неправильно оформленные электронные документы Участника.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2.1.1</w:t>
      </w:r>
      <w:r>
        <w:rPr>
          <w:rFonts w:ascii="PT Astra Serif" w:hAnsi="PT Astra Serif" w:cs="PT Astra Serif"/>
          <w:sz w:val="20"/>
          <w:szCs w:val="20"/>
          <w:lang w:val="en-US"/>
        </w:rPr>
        <w:t xml:space="preserve">4</w:t>
      </w:r>
      <w:r>
        <w:rPr>
          <w:rFonts w:ascii="PT Astra Serif" w:hAnsi="PT Astra Serif" w:cs="PT Astra Serif"/>
          <w:sz w:val="20"/>
          <w:szCs w:val="20"/>
        </w:rPr>
        <w:t xml:space="preserve">. Обеспечить конфиденциальность информации об электронных ра</w:t>
      </w:r>
      <w:r>
        <w:rPr>
          <w:rFonts w:ascii="PT Astra Serif" w:hAnsi="PT Astra Serif" w:cs="PT Astra Serif"/>
          <w:sz w:val="20"/>
          <w:szCs w:val="20"/>
        </w:rPr>
        <w:t xml:space="preserve">с</w:t>
      </w:r>
      <w:r>
        <w:rPr>
          <w:rFonts w:ascii="PT Astra Serif" w:hAnsi="PT Astra Serif" w:cs="PT Astra Serif"/>
          <w:sz w:val="20"/>
          <w:szCs w:val="20"/>
        </w:rPr>
        <w:t xml:space="preserve">четах, проводимых в соответствии с настоящим Договором.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2.1.1</w:t>
      </w:r>
      <w:r>
        <w:rPr>
          <w:rFonts w:ascii="PT Astra Serif" w:hAnsi="PT Astra Serif" w:cs="PT Astra Serif"/>
          <w:sz w:val="20"/>
          <w:szCs w:val="20"/>
          <w:lang w:val="en-US"/>
        </w:rPr>
        <w:t xml:space="preserve">5</w:t>
      </w:r>
      <w:r>
        <w:rPr>
          <w:rFonts w:ascii="PT Astra Serif" w:hAnsi="PT Astra Serif" w:cs="PT Astra Serif"/>
          <w:sz w:val="20"/>
          <w:szCs w:val="20"/>
        </w:rPr>
        <w:t xml:space="preserve">. Консультировать Участника по вопросам работы в Системе, относящимся к его компетенции.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2.1.1</w:t>
      </w:r>
      <w:r>
        <w:rPr>
          <w:rFonts w:ascii="PT Astra Serif" w:hAnsi="PT Astra Serif" w:cs="PT Astra Serif"/>
          <w:sz w:val="20"/>
          <w:szCs w:val="20"/>
        </w:rPr>
        <w:t xml:space="preserve">6</w:t>
      </w:r>
      <w:r>
        <w:rPr>
          <w:rFonts w:ascii="PT Astra Serif" w:hAnsi="PT Astra Serif" w:cs="PT Astra Serif"/>
          <w:sz w:val="20"/>
          <w:szCs w:val="20"/>
        </w:rPr>
        <w:t xml:space="preserve">. 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Использовать для формирования и проверки ЭП под электронными документами сертифицированные ФАПСИ/ФСБ средства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  <w:t xml:space="preserve">2.1.1</w:t>
      </w:r>
      <w:r>
        <w:rPr>
          <w:rFonts w:ascii="PT Astra Serif" w:hAnsi="PT Astra Serif" w:cs="PT Astra Serif"/>
          <w:sz w:val="20"/>
          <w:szCs w:val="20"/>
        </w:rPr>
        <w:t xml:space="preserve">7</w:t>
      </w:r>
      <w:r>
        <w:rPr>
          <w:rFonts w:ascii="PT Astra Serif" w:hAnsi="PT Astra Serif" w:cs="PT Astra Serif"/>
          <w:sz w:val="20"/>
          <w:szCs w:val="20"/>
        </w:rPr>
        <w:t xml:space="preserve">. Обеспечить исполь</w:t>
      </w:r>
      <w:r>
        <w:rPr>
          <w:rFonts w:ascii="PT Astra Serif" w:hAnsi="PT Astra Serif" w:cs="PT Astra Serif"/>
          <w:sz w:val="20"/>
          <w:szCs w:val="20"/>
        </w:rPr>
        <w:t xml:space="preserve">зование и хранение средств ЭП, организацию безопасности рабочего места, перечень и процедуру назначения ответственных должностных лиц согласно инструкции для Участника, указанной в приложении № 1 к настоящему Договору и являющемуся его неотъемлемой частью.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696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2.2. Организатор имеет право: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color w:val="000000"/>
          <w:sz w:val="20"/>
          <w:szCs w:val="20"/>
        </w:rPr>
      </w:pPr>
      <w:r>
        <w:rPr>
          <w:rFonts w:ascii="PT Astra Serif" w:hAnsi="PT Astra Serif" w:cs="PT Astra Serif"/>
          <w:color w:val="000000"/>
          <w:sz w:val="20"/>
          <w:szCs w:val="20"/>
        </w:rPr>
        <w:t xml:space="preserve">2.2.1. Приостановить прием электронных документов Участника в случаях нарушения или ненадлежащего выполнения Участником условий настоящего Договора, а также для предотвращения конфликтных ситуаций и обеспечения безопасности функционирования Системы.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2.2.2. Инициировать разрешение возникшей конфликтной ситуации.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2.3. Участник обязуется: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2.3.1. Поддерживать в рабочем состоянии АС для создания, подписания и отправки электронных документов с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2.3.2. Назначить следующих ответственных лиц: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лицо, имеющее право подписывать ЭП электронные документы в Системе;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лицо, ответственное за хранение средств ЭП;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в) лицо, ответственное за поддержание в рабочем состоянии и обеспечение безопасности функционирования своей части АС.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2.3.3. Предоставить Организатору копии приказов о назначении ответственных лиц.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2.3.4. Доставлять Организатору платежные документы на бумажных носителях, если по какой-либо причине невозможно своевременно дост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вить электронные документы с ЭП средствами АС.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2.3.</w:t>
      </w:r>
      <w:r>
        <w:rPr>
          <w:rFonts w:ascii="PT Astra Serif" w:hAnsi="PT Astra Serif" w:cs="PT Astra Serif"/>
          <w:sz w:val="20"/>
          <w:szCs w:val="20"/>
        </w:rPr>
        <w:t xml:space="preserve">5</w:t>
      </w:r>
      <w:r>
        <w:rPr>
          <w:rFonts w:ascii="PT Astra Serif" w:hAnsi="PT Astra Serif" w:cs="PT Astra Serif"/>
          <w:sz w:val="20"/>
          <w:szCs w:val="20"/>
        </w:rPr>
        <w:t xml:space="preserve">. 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Обеспечить неукоснительное соблюдение порядка создания, подписи, отпр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авки электронных документов с Э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П, а также организацию безопасности рабочего места с АС согласно инструкции, указанной в приложении № 2 к настоящему Договору.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2.3.</w:t>
      </w:r>
      <w:r>
        <w:rPr>
          <w:rFonts w:ascii="PT Astra Serif" w:hAnsi="PT Astra Serif" w:cs="PT Astra Serif"/>
          <w:sz w:val="20"/>
          <w:szCs w:val="20"/>
        </w:rPr>
        <w:t xml:space="preserve">6</w:t>
      </w:r>
      <w:r>
        <w:rPr>
          <w:rFonts w:ascii="PT Astra Serif" w:hAnsi="PT Astra Serif" w:cs="PT Astra Serif"/>
          <w:sz w:val="20"/>
          <w:szCs w:val="20"/>
        </w:rPr>
        <w:t xml:space="preserve">. </w:t>
      </w:r>
      <w:r>
        <w:rPr>
          <w:rFonts w:ascii="PT Astra Serif" w:hAnsi="PT Astra Serif" w:cs="PT Astra Serif"/>
          <w:color w:val="000000"/>
          <w:sz w:val="20"/>
          <w:szCs w:val="20"/>
        </w:rPr>
        <w:t xml:space="preserve">Использовать для формирования и проверки ЭП под электронными документами сертифицированные ФАПСИ/ФСБ средства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2.3.</w:t>
      </w:r>
      <w:r>
        <w:rPr>
          <w:rFonts w:ascii="PT Astra Serif" w:hAnsi="PT Astra Serif" w:cs="PT Astra Serif"/>
          <w:sz w:val="20"/>
          <w:szCs w:val="20"/>
          <w:lang w:val="en-US"/>
        </w:rPr>
        <w:t xml:space="preserve">7</w:t>
      </w:r>
      <w:r>
        <w:rPr>
          <w:rFonts w:ascii="PT Astra Serif" w:hAnsi="PT Astra Serif" w:cs="PT Astra Serif"/>
          <w:sz w:val="20"/>
          <w:szCs w:val="20"/>
        </w:rPr>
        <w:t xml:space="preserve">. Хранить платежные документы на бумажных носителях Участника в течение 5 (лет).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2.3.</w:t>
      </w:r>
      <w:r>
        <w:rPr>
          <w:rFonts w:ascii="PT Astra Serif" w:hAnsi="PT Astra Serif" w:cs="PT Astra Serif"/>
          <w:sz w:val="20"/>
          <w:szCs w:val="20"/>
        </w:rPr>
        <w:t xml:space="preserve">8</w:t>
      </w:r>
      <w:r>
        <w:rPr>
          <w:rFonts w:ascii="PT Astra Serif" w:hAnsi="PT Astra Serif" w:cs="PT Astra Serif"/>
          <w:sz w:val="20"/>
          <w:szCs w:val="20"/>
        </w:rPr>
        <w:t xml:space="preserve">. Немедленно уведомлять Организатора о компрометации ключей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2.3.</w:t>
      </w:r>
      <w:r>
        <w:rPr>
          <w:rFonts w:ascii="PT Astra Serif" w:hAnsi="PT Astra Serif" w:cs="PT Astra Serif"/>
          <w:sz w:val="20"/>
          <w:szCs w:val="20"/>
        </w:rPr>
        <w:t xml:space="preserve">9</w:t>
      </w:r>
      <w:r>
        <w:rPr>
          <w:rFonts w:ascii="PT Astra Serif" w:hAnsi="PT Astra Serif" w:cs="PT Astra Serif"/>
          <w:sz w:val="20"/>
          <w:szCs w:val="20"/>
        </w:rPr>
        <w:t xml:space="preserve">. В случае компрометации ключевой информации немедленно прекратить работу со скомпрометированными ключами ЭП и известить об этом Организатора.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2.3.1</w:t>
      </w:r>
      <w:r>
        <w:rPr>
          <w:rFonts w:ascii="PT Astra Serif" w:hAnsi="PT Astra Serif" w:cs="PT Astra Serif"/>
          <w:sz w:val="20"/>
          <w:szCs w:val="20"/>
          <w:lang w:val="en-US"/>
        </w:rPr>
        <w:t xml:space="preserve">0</w:t>
      </w:r>
      <w:r>
        <w:rPr>
          <w:rFonts w:ascii="PT Astra Serif" w:hAnsi="PT Astra Serif" w:cs="PT Astra Serif"/>
          <w:sz w:val="20"/>
          <w:szCs w:val="20"/>
        </w:rPr>
        <w:t xml:space="preserve">. Информировать Организатора обо всех кадровых перестановках у Участника, затрагивающих безопасность функционирования Системы.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2.3.1</w:t>
      </w:r>
      <w:r>
        <w:rPr>
          <w:rFonts w:ascii="PT Astra Serif" w:hAnsi="PT Astra Serif" w:cs="PT Astra Serif"/>
          <w:sz w:val="20"/>
          <w:szCs w:val="20"/>
          <w:lang w:val="en-US"/>
        </w:rPr>
        <w:t xml:space="preserve">1</w:t>
      </w:r>
      <w:r>
        <w:rPr>
          <w:rFonts w:ascii="PT Astra Serif" w:hAnsi="PT Astra Serif" w:cs="PT Astra Serif"/>
          <w:sz w:val="20"/>
          <w:szCs w:val="20"/>
        </w:rPr>
        <w:t xml:space="preserve">. Обеспечить конфиденциальность информации об электронных ра</w:t>
      </w:r>
      <w:r>
        <w:rPr>
          <w:rFonts w:ascii="PT Astra Serif" w:hAnsi="PT Astra Serif" w:cs="PT Astra Serif"/>
          <w:sz w:val="20"/>
          <w:szCs w:val="20"/>
        </w:rPr>
        <w:t xml:space="preserve">с</w:t>
      </w:r>
      <w:r>
        <w:rPr>
          <w:rFonts w:ascii="PT Astra Serif" w:hAnsi="PT Astra Serif" w:cs="PT Astra Serif"/>
          <w:sz w:val="20"/>
          <w:szCs w:val="20"/>
        </w:rPr>
        <w:t xml:space="preserve">четах, проводимых в соответствии с настоящим Договором.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2.3.1</w:t>
      </w:r>
      <w:r>
        <w:rPr>
          <w:rFonts w:ascii="PT Astra Serif" w:hAnsi="PT Astra Serif" w:cs="PT Astra Serif"/>
          <w:sz w:val="20"/>
          <w:szCs w:val="20"/>
        </w:rPr>
        <w:t xml:space="preserve">2</w:t>
      </w:r>
      <w:r>
        <w:rPr>
          <w:rFonts w:ascii="PT Astra Serif" w:hAnsi="PT Astra Serif" w:cs="PT Astra Serif"/>
          <w:sz w:val="20"/>
          <w:szCs w:val="20"/>
        </w:rPr>
        <w:t xml:space="preserve">. Обеспечить сохранность закрытых ключей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b/>
          <w:bCs/>
          <w:sz w:val="20"/>
          <w:szCs w:val="20"/>
          <w:highlight w:val="none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2.4. Участник имеет право: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color w:val="000000"/>
          <w:sz w:val="20"/>
          <w:szCs w:val="20"/>
        </w:rPr>
        <w:t xml:space="preserve">2.4.1. Вносить предложения по изменению порядка функционирования Системы, структуре и содержанию нормативных документов, регламентирующих функционирование Системы.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8"/>
        <w:ind w:left="0"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2.4.2. Инициировать разрешение возникшей конфликтной ситуации.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696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3. Ответственность сторон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696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3.1. За неисполнение или ненадлежащее исполнение обязательств по настоящ</w:t>
      </w:r>
      <w:r>
        <w:rPr>
          <w:rFonts w:ascii="PT Astra Serif" w:hAnsi="PT Astra Serif" w:cs="PT Astra Serif"/>
          <w:sz w:val="20"/>
          <w:szCs w:val="20"/>
        </w:rPr>
        <w:t xml:space="preserve">е</w:t>
      </w:r>
      <w:r>
        <w:rPr>
          <w:rFonts w:ascii="PT Astra Serif" w:hAnsi="PT Astra Serif" w:cs="PT Astra Serif"/>
          <w:sz w:val="20"/>
          <w:szCs w:val="20"/>
        </w:rPr>
        <w:t xml:space="preserve">му Договору Стороны несут ответственность в соответствии с законодател</w:t>
      </w:r>
      <w:r>
        <w:rPr>
          <w:rFonts w:ascii="PT Astra Serif" w:hAnsi="PT Astra Serif" w:cs="PT Astra Serif"/>
          <w:sz w:val="20"/>
          <w:szCs w:val="20"/>
        </w:rPr>
        <w:t xml:space="preserve">ь</w:t>
      </w:r>
      <w:r>
        <w:rPr>
          <w:rFonts w:ascii="PT Astra Serif" w:hAnsi="PT Astra Serif" w:cs="PT Astra Serif"/>
          <w:sz w:val="20"/>
          <w:szCs w:val="20"/>
        </w:rPr>
        <w:t xml:space="preserve">ством Российской Федерации.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696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3.2. Организатор несет ответственность за проверку ЭП под электронными документами Участника.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696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3.3. Участник несет ответственность за назначение уполномоченных лиц, имеющих право подписывать электронные документы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696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3.4. Участник несет ответственность за сохранность и без</w:t>
      </w:r>
      <w:r>
        <w:rPr>
          <w:rFonts w:ascii="PT Astra Serif" w:hAnsi="PT Astra Serif" w:cs="PT Astra Serif"/>
          <w:sz w:val="20"/>
          <w:szCs w:val="20"/>
        </w:rPr>
        <w:t xml:space="preserve">опасное использование средств Э</w:t>
      </w:r>
      <w:r>
        <w:rPr>
          <w:rFonts w:ascii="PT Astra Serif" w:hAnsi="PT Astra Serif" w:cs="PT Astra Serif"/>
          <w:sz w:val="20"/>
          <w:szCs w:val="20"/>
        </w:rPr>
        <w:t xml:space="preserve">П, в том числе закрытого ключа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696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3.5. В случае компрометации закрытого ключа ЭП ответстве</w:t>
      </w:r>
      <w:r>
        <w:rPr>
          <w:rFonts w:ascii="PT Astra Serif" w:hAnsi="PT Astra Serif" w:cs="PT Astra Serif"/>
          <w:sz w:val="20"/>
          <w:szCs w:val="20"/>
        </w:rPr>
        <w:t xml:space="preserve">н</w:t>
      </w:r>
      <w:r>
        <w:rPr>
          <w:rFonts w:ascii="PT Astra Serif" w:hAnsi="PT Astra Serif" w:cs="PT Astra Serif"/>
          <w:sz w:val="20"/>
          <w:szCs w:val="20"/>
        </w:rPr>
        <w:t xml:space="preserve">ность за любые последствия, наступившие вследствие несвоевременного оп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вещения Организатора, возлагается на владельца ключа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3.6. Стороны не несут ответственности за задержки, сбои и другие н</w:t>
      </w:r>
      <w:r>
        <w:rPr>
          <w:rFonts w:ascii="PT Astra Serif" w:hAnsi="PT Astra Serif" w:cs="PT Astra Serif"/>
          <w:sz w:val="20"/>
          <w:szCs w:val="20"/>
        </w:rPr>
        <w:t xml:space="preserve">е</w:t>
      </w:r>
      <w:r>
        <w:rPr>
          <w:rFonts w:ascii="PT Astra Serif" w:hAnsi="PT Astra Serif" w:cs="PT Astra Serif"/>
          <w:sz w:val="20"/>
          <w:szCs w:val="20"/>
        </w:rPr>
        <w:t xml:space="preserve">достатки в исполнении обязательств по настоящему Договору в случае возникнов</w:t>
      </w:r>
      <w:r>
        <w:rPr>
          <w:rFonts w:ascii="PT Astra Serif" w:hAnsi="PT Astra Serif" w:cs="PT Astra Serif"/>
          <w:sz w:val="20"/>
          <w:szCs w:val="20"/>
        </w:rPr>
        <w:t xml:space="preserve">е</w:t>
      </w:r>
      <w:r>
        <w:rPr>
          <w:rFonts w:ascii="PT Astra Serif" w:hAnsi="PT Astra Serif" w:cs="PT Astra Serif"/>
          <w:sz w:val="20"/>
          <w:szCs w:val="20"/>
        </w:rPr>
        <w:t xml:space="preserve">ния обстоятельств непреодолимой силы (форс-мажор) включая но, не ограничиваясь стихийными бедствиями, военными действии, забастовками, отключениями подачи электроэнергии, законодательными и правительственными ограничениями и запрещениями.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3.7. Организатор не несет ответственности за правомерность и пр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вильность надлежащим образом оформленной Участником операции по ра</w:t>
      </w:r>
      <w:r>
        <w:rPr>
          <w:rFonts w:ascii="PT Astra Serif" w:hAnsi="PT Astra Serif" w:cs="PT Astra Serif"/>
          <w:sz w:val="20"/>
          <w:szCs w:val="20"/>
        </w:rPr>
        <w:t xml:space="preserve">с</w:t>
      </w:r>
      <w:r>
        <w:rPr>
          <w:rFonts w:ascii="PT Astra Serif" w:hAnsi="PT Astra Serif" w:cs="PT Astra Serif"/>
          <w:sz w:val="20"/>
          <w:szCs w:val="20"/>
        </w:rPr>
        <w:t xml:space="preserve">ходу со Счета, а также за убытки, понесенные Участником вследствие отказов и несвоевременных действий лиц, в пользу которых осуществляется расчетная операция по пор</w:t>
      </w:r>
      <w:r>
        <w:rPr>
          <w:rFonts w:ascii="PT Astra Serif" w:hAnsi="PT Astra Serif" w:cs="PT Astra Serif"/>
          <w:sz w:val="20"/>
          <w:szCs w:val="20"/>
        </w:rPr>
        <w:t xml:space="preserve">у</w:t>
      </w:r>
      <w:r>
        <w:rPr>
          <w:rFonts w:ascii="PT Astra Serif" w:hAnsi="PT Astra Serif" w:cs="PT Astra Serif"/>
          <w:sz w:val="20"/>
          <w:szCs w:val="20"/>
        </w:rPr>
        <w:t xml:space="preserve">чению Участника.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3.8. Любая из Сторон несет ответственность за ущерб, возникший нез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висимо от причин, вследствие передачи третьим лицам своих ключевых материалов, и</w:t>
      </w:r>
      <w:r>
        <w:rPr>
          <w:rFonts w:ascii="PT Astra Serif" w:hAnsi="PT Astra Serif" w:cs="PT Astra Serif"/>
          <w:sz w:val="20"/>
          <w:szCs w:val="20"/>
        </w:rPr>
        <w:t xml:space="preserve">с</w:t>
      </w:r>
      <w:r>
        <w:rPr>
          <w:rFonts w:ascii="PT Astra Serif" w:hAnsi="PT Astra Serif" w:cs="PT Astra Serif"/>
          <w:sz w:val="20"/>
          <w:szCs w:val="20"/>
        </w:rPr>
        <w:t xml:space="preserve">пользуемых для защиты информации.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696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4. Компрометация ключа ЭП. Дей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ствия при компрометации ключа Э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П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696"/>
        <w:jc w:val="both"/>
        <w:rPr>
          <w:rFonts w:ascii="PT Astra Serif" w:hAnsi="PT Astra Serif" w:cs="PT Astra Serif"/>
          <w:iCs/>
          <w:sz w:val="20"/>
          <w:szCs w:val="20"/>
        </w:rPr>
      </w:pPr>
      <w:r>
        <w:rPr>
          <w:rFonts w:ascii="PT Astra Serif" w:hAnsi="PT Astra Serif" w:cs="PT Astra Serif"/>
          <w:iCs/>
          <w:sz w:val="20"/>
          <w:szCs w:val="20"/>
        </w:rPr>
        <w:t xml:space="preserve">4.1. Под комп</w:t>
      </w:r>
      <w:r>
        <w:rPr>
          <w:rFonts w:ascii="PT Astra Serif" w:hAnsi="PT Astra Serif" w:cs="PT Astra Serif"/>
          <w:iCs/>
          <w:sz w:val="20"/>
          <w:szCs w:val="20"/>
        </w:rPr>
        <w:t xml:space="preserve">рометацией ключа ЭП понимается</w:t>
      </w:r>
      <w:r>
        <w:rPr>
          <w:rFonts w:ascii="PT Astra Serif" w:hAnsi="PT Astra Serif" w:cs="PT Astra Serif"/>
          <w:iCs/>
          <w:sz w:val="20"/>
          <w:szCs w:val="20"/>
        </w:rPr>
        <w:t xml:space="preserve">, но этим не ограничивается: 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696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потеря ключевых носителей;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696"/>
        <w:jc w:val="both"/>
        <w:rPr>
          <w:rFonts w:ascii="PT Astra Serif" w:hAnsi="PT Astra Serif" w:cs="PT Astra Serif"/>
          <w:iCs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потеря ключевых носителей с их последующим обнаружением;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696"/>
        <w:jc w:val="both"/>
        <w:rPr>
          <w:rFonts w:ascii="PT Astra Serif" w:hAnsi="PT Astra Serif" w:cs="PT Astra Serif"/>
          <w:iCs/>
          <w:sz w:val="20"/>
          <w:szCs w:val="20"/>
        </w:rPr>
      </w:pPr>
      <w:r>
        <w:rPr>
          <w:rFonts w:ascii="PT Astra Serif" w:hAnsi="PT Astra Serif" w:cs="PT Astra Serif"/>
          <w:iCs/>
          <w:sz w:val="20"/>
          <w:szCs w:val="20"/>
        </w:rPr>
        <w:t xml:space="preserve">в) у</w:t>
      </w:r>
      <w:r>
        <w:rPr>
          <w:rFonts w:ascii="PT Astra Serif" w:hAnsi="PT Astra Serif" w:cs="PT Astra Serif"/>
          <w:sz w:val="20"/>
          <w:szCs w:val="20"/>
        </w:rPr>
        <w:t xml:space="preserve">вольнение сотрудников, имевших доступ к ключевой информации;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696"/>
        <w:jc w:val="both"/>
        <w:rPr>
          <w:rFonts w:ascii="PT Astra Serif" w:hAnsi="PT Astra Serif" w:cs="PT Astra Serif"/>
          <w:iCs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г) нарушение правил хранения и уничтожения (после окончания срока действия) секретного ключа;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696"/>
        <w:jc w:val="both"/>
        <w:rPr>
          <w:rFonts w:ascii="PT Astra Serif" w:hAnsi="PT Astra Serif" w:cs="PT Astra Serif"/>
          <w:iCs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д) возникновение подозрений на утечку информации или ее искажение в системе конфиденциальной связи;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696"/>
        <w:jc w:val="both"/>
        <w:rPr>
          <w:rFonts w:ascii="PT Astra Serif" w:hAnsi="PT Astra Serif" w:cs="PT Astra Serif"/>
          <w:iCs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е) нарушение печати на сейфе с ключевыми носителями;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696"/>
        <w:jc w:val="both"/>
        <w:rPr>
          <w:rFonts w:ascii="PT Astra Serif" w:hAnsi="PT Astra Serif" w:cs="PT Astra Serif"/>
          <w:iCs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ж) случаи, когда нельзя достоверно установить, что прои</w:t>
      </w:r>
      <w:r>
        <w:rPr>
          <w:rFonts w:ascii="PT Astra Serif" w:hAnsi="PT Astra Serif" w:cs="PT Astra Serif"/>
          <w:sz w:val="20"/>
          <w:szCs w:val="20"/>
        </w:rPr>
        <w:t xml:space="preserve">зошло с ключевыми  носителями, содержащими ключевую информацию (в том числе случаи, когда ключевой носитель вышел из строя и доказательно не опровергнута возможность того, что данный факт произошел в результате несанкционированных действий злоумышленника).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4.2. В случае наступления событий, предусмотренных пунктом 4.1. настоящего Договора, Участник обязан незамедлительно сообщить об этом Организатору.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4.3. Организатор обязуется отклонить все документы Участника, поступившие в течение срока указанного Участником.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5. Порядок разрешения конфликтных (спорных) ситуаций в отношении электронных документов с ЭП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5.1. В Системе определяются следующие конфликтные (спорные) ситуации, связанные с использованием электронных документов с ЭП: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одна из сторон оспаривает авторство электронного документа с ЭП;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одна из сторон оспаривает подлинность электронного документа с ЭП 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в) одна из сторон оспаривает факт получения/отправки  электронного документа с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 Для разрешения конфликтных (спорных) ситуаций в отношении электронных документов с ЭП (далее – Конфликтные ситуации) Стороны устанавливают следующий порядок.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5.2.1. Инициирование разрешения конфликтных ситуаций: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каждая из Сторон имеет право инициировать разрешение Конфликтной ситуации, связанной с электронным документом или группой электронных документов, отправленных или полученных Сторонами.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инициирование разрешения Конфликтной ситуации осуществляет одна из Сторон путем направления уведомления (письма) за подписью уполномоченного на то лица другой Стороне с изложением причин разногласия.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5.2.2. Создание комиссии для разрешения Конфликтных ситуаций: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для полноценного и объективного разрешения Конфликтной ситуации создается комиссия по разрешению Конфликтной ситуации;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комиссия по разрешению Конфликтной ситуации должна состоять не менее чем из четырех человек (по два человека от каждой Стороны), также в данную комиссию могут быть включены независимые эксперты;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в) члены комиссии по разбору Конфликтной ситуации от каждой Стороны назн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чаются каждой Стороной самостоятельно;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г) в случае привлечения независимых эк</w:t>
      </w:r>
      <w:r>
        <w:rPr>
          <w:rFonts w:ascii="PT Astra Serif" w:hAnsi="PT Astra Serif" w:cs="PT Astra Serif"/>
          <w:sz w:val="20"/>
          <w:szCs w:val="20"/>
        </w:rPr>
        <w:t xml:space="preserve">с</w:t>
      </w:r>
      <w:r>
        <w:rPr>
          <w:rFonts w:ascii="PT Astra Serif" w:hAnsi="PT Astra Serif" w:cs="PT Astra Serif"/>
          <w:sz w:val="20"/>
          <w:szCs w:val="20"/>
        </w:rPr>
        <w:t xml:space="preserve">пертов, эксперт считается назначенным только при согласии обеих Сторон;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д) д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та сбора комиссии по разрешению Конфликтной ситуации должна быть определена не позднее 7 дней со дня отправки предлож</w:t>
      </w:r>
      <w:r>
        <w:rPr>
          <w:rFonts w:ascii="PT Astra Serif" w:hAnsi="PT Astra Serif" w:cs="PT Astra Serif"/>
          <w:sz w:val="20"/>
          <w:szCs w:val="20"/>
        </w:rPr>
        <w:t xml:space="preserve">е</w:t>
      </w:r>
      <w:r>
        <w:rPr>
          <w:rFonts w:ascii="PT Astra Serif" w:hAnsi="PT Astra Serif" w:cs="PT Astra Serif"/>
          <w:sz w:val="20"/>
          <w:szCs w:val="20"/>
        </w:rPr>
        <w:t xml:space="preserve">ния о создании комиссии.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е) комиссия по разрешению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Конфликтной ситуации осуществляет свою работу в срок от 1 (одного) до 3 (трех) рабочих дней.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5.2.3. Организатор представляет следующие документы для разрешения Конфликтных ситуаций: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корневой сертификат  уполномоченного лица </w:t>
      </w:r>
      <w:r>
        <w:rPr>
          <w:rFonts w:ascii="PT Astra Serif" w:hAnsi="PT Astra Serif" w:cs="PT Astra Serif"/>
          <w:bCs/>
          <w:iCs/>
          <w:sz w:val="20"/>
          <w:szCs w:val="20"/>
        </w:rPr>
        <w:t xml:space="preserve">УЦ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список отозванных сертификатов в электронном виде, действующий на момент поступления спорного документа;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в) сертификат уполномоченного лица Участника в электронном виде;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г) электронный документ с ЭП, в отношении которого ведется разбирательство;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д) документы, относительно спорного электронного документа с ЭП, полученные в </w:t>
      </w:r>
      <w:r>
        <w:rPr>
          <w:rFonts w:ascii="PT Astra Serif" w:hAnsi="PT Astra Serif" w:cs="PT Astra Serif"/>
          <w:bCs/>
          <w:iCs/>
          <w:sz w:val="20"/>
          <w:szCs w:val="20"/>
        </w:rPr>
        <w:t xml:space="preserve">УЦ</w:t>
      </w:r>
      <w:r>
        <w:rPr>
          <w:rFonts w:ascii="PT Astra Serif" w:hAnsi="PT Astra Serif" w:cs="PT Astra Serif"/>
          <w:sz w:val="20"/>
          <w:szCs w:val="20"/>
        </w:rPr>
        <w:t xml:space="preserve">,</w:t>
      </w:r>
      <w:r>
        <w:rPr>
          <w:rFonts w:ascii="PT Astra Serif" w:hAnsi="PT Astra Serif" w:cs="PT Astra Serif"/>
          <w:b/>
          <w:bCs/>
          <w:i/>
          <w:iCs/>
          <w:color w:val="ff0000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если таковые запрашивались.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5.2.4. Участник предоставляет следующие документы для разбора Конфликтных ситуаций: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ключевой носитель с ключами ЭП;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сертификат открытого ключа ЭП в электронном виде;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в) сертификат открытого ключа ЭП на бумажном носителе;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г) корневой сертификат уполномоченного лица УЦ;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д) документы, относительно спорного электронного документа с ЭП, полученные в УЦ, если таковые запрашивались.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5.2.5. Для проведения экспертных исследований в ходе заседания комиссии по разбору Конфликтной ситуации должно быть обеспечено наличие следующего технического обеспечения: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рабочая станция с установленной АС Участника, а также применявшимся средством ЭП;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рабочая станция с установленной АС Организатора, а также применявшимся средством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5.2.6. Регламент заседания комиссии по Конфликтной ситуации и проведения экспертных исследований включает в себя: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сравнение сертификатов открытых ключей, как в электронном виде, так и на бумажных носителях, находящихся у Участника и у Организатора.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рассмотрение документов, полученных в УЦ, если такие документы были представлены хотя бы одной из Сторон;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в) проверку журнала использования ключевого носителя;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г) тестовую подпись аналогичного электронного документа средствами АС Участника, его отправка и проверка с использованием предоставленных ключевых носителей с записанными на них ключами ЭП и сертификатов открытых ключей;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5.2.7. Любая из Сторон может потребовать дополнительных исследований проверок и экспериментов, которые по их мнению могут внести дополнительную ясность в разрешение конфликтной ситуации.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5.2.8. В случае если Сторона, подлинность исходящего электронного документа которой оспаривается, не в состоянии предоставить какие-либо из материалов, предусмотренных пунктами 5.2.3. и 5.2.4. настоящего Договора, спор сч</w:t>
      </w:r>
      <w:r>
        <w:rPr>
          <w:rFonts w:ascii="PT Astra Serif" w:hAnsi="PT Astra Serif" w:cs="PT Astra Serif"/>
          <w:sz w:val="20"/>
          <w:szCs w:val="20"/>
        </w:rPr>
        <w:t xml:space="preserve">и</w:t>
      </w:r>
      <w:r>
        <w:rPr>
          <w:rFonts w:ascii="PT Astra Serif" w:hAnsi="PT Astra Serif" w:cs="PT Astra Serif"/>
          <w:sz w:val="20"/>
          <w:szCs w:val="20"/>
        </w:rPr>
        <w:t xml:space="preserve">тается разрешенным в пользу другой Стороны.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 Заключение.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5.3.1. Результаты всех исследований, проверок и экспериментов обязательно отражаются в протоколе заседания комиссии по Конфликтной ситуации, в котором отражаются: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а) состав комиссии по Конфликтной ситуации;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б) установленные обстоятельства, приведшие к оспариванию электронного документа;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в) порядок действий членов комиссии по Конфликтной ситуации;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г) выводы по установлению подлинности оспариваемого документа и вины Ст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рон.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5.3.2. Протокол заседания комиссии по Конфликтной ситуации подписывается всеми членами комиссии по Конфликтной ситуации.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5.3.3. По итогам заседания составляется заключение, в котором отражается возможность или невозможность разрешения Конфликтной ситуации и в пользу какой Стороны было вынесено решение.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5.3.4. Заключение подписывается всеми членами комиссии по Конфликтной ситуации и является обязательным для исполнения Сторонами.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5.3.5. Члены комиссии по Конфликтной ситуации, несогласные с требованиями бол</w:t>
      </w:r>
      <w:r>
        <w:rPr>
          <w:rFonts w:ascii="PT Astra Serif" w:hAnsi="PT Astra Serif" w:cs="PT Astra Serif"/>
          <w:sz w:val="20"/>
          <w:szCs w:val="20"/>
        </w:rPr>
        <w:t xml:space="preserve">ь</w:t>
      </w:r>
      <w:r>
        <w:rPr>
          <w:rFonts w:ascii="PT Astra Serif" w:hAnsi="PT Astra Serif" w:cs="PT Astra Serif"/>
          <w:sz w:val="20"/>
          <w:szCs w:val="20"/>
        </w:rPr>
        <w:t xml:space="preserve">шинства, подписывают заключение с возражениями, которые прикладываются к заключению.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5.3.6. Стороны признают решения комиссии по Конфликтной ситуации, оформленные заключением, обязател</w:t>
      </w:r>
      <w:r>
        <w:rPr>
          <w:rFonts w:ascii="PT Astra Serif" w:hAnsi="PT Astra Serif" w:cs="PT Astra Serif"/>
          <w:sz w:val="20"/>
          <w:szCs w:val="20"/>
        </w:rPr>
        <w:t xml:space="preserve">ь</w:t>
      </w:r>
      <w:r>
        <w:rPr>
          <w:rFonts w:ascii="PT Astra Serif" w:hAnsi="PT Astra Serif" w:cs="PT Astra Serif"/>
          <w:sz w:val="20"/>
          <w:szCs w:val="20"/>
        </w:rPr>
        <w:t xml:space="preserve">ными для участников споров и обязуются добровольно исполнять решения комиссии по Конфликтной ситуации по указанным в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просам в установленные в них сроки.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5.3.7. К заключению прикладываются копии документов представленных на заседании комиссии по Конфликтной ситуации, за исключением ключевого носителя с ключами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5.3.8. Заключение выполняется в двух экземплярах (по одному экземпляру для каждой Стороны).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5.4. Внештатные ситуации.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5.4.1. В случае, если предложение о создании комиссии по Конфликтной ситуации оставлено другой Стороной без о</w:t>
      </w:r>
      <w:r>
        <w:rPr>
          <w:rFonts w:ascii="PT Astra Serif" w:hAnsi="PT Astra Serif" w:cs="PT Astra Serif"/>
          <w:sz w:val="20"/>
          <w:szCs w:val="20"/>
        </w:rPr>
        <w:t xml:space="preserve">т</w:t>
      </w:r>
      <w:r>
        <w:rPr>
          <w:rFonts w:ascii="PT Astra Serif" w:hAnsi="PT Astra Serif" w:cs="PT Astra Serif"/>
          <w:sz w:val="20"/>
          <w:szCs w:val="20"/>
        </w:rPr>
        <w:t xml:space="preserve">вета, либо Сторона отказывается от участия в работе комиссии по Конфликтной ситуации, либо в процессе работы комиссии по Конфликтной ситуации чинились препятствия, не позволившие к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миссии по Конфликтной ситуации составить надлежащее заключение, заинтересованная Сторона составляет заключение в одн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стороннем порядке с указанием причины последнего. В указанном заключении фикс</w:t>
      </w:r>
      <w:r>
        <w:rPr>
          <w:rFonts w:ascii="PT Astra Serif" w:hAnsi="PT Astra Serif" w:cs="PT Astra Serif"/>
          <w:sz w:val="20"/>
          <w:szCs w:val="20"/>
        </w:rPr>
        <w:t xml:space="preserve">и</w:t>
      </w:r>
      <w:r>
        <w:rPr>
          <w:rFonts w:ascii="PT Astra Serif" w:hAnsi="PT Astra Serif" w:cs="PT Astra Serif"/>
          <w:sz w:val="20"/>
          <w:szCs w:val="20"/>
        </w:rPr>
        <w:t xml:space="preserve">руются обстоятельства, позволяющие сделать вывод о том, что оспар</w:t>
      </w:r>
      <w:r>
        <w:rPr>
          <w:rFonts w:ascii="PT Astra Serif" w:hAnsi="PT Astra Serif" w:cs="PT Astra Serif"/>
          <w:sz w:val="20"/>
          <w:szCs w:val="20"/>
        </w:rPr>
        <w:t xml:space="preserve">и</w:t>
      </w:r>
      <w:r>
        <w:rPr>
          <w:rFonts w:ascii="PT Astra Serif" w:hAnsi="PT Astra Serif" w:cs="PT Astra Serif"/>
          <w:sz w:val="20"/>
          <w:szCs w:val="20"/>
        </w:rPr>
        <w:t xml:space="preserve">ваемый документ является подлинным, либо формируется вывод об обратном. Указанное заключение н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правляется другой Стороне для сведения.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5.4.2. В случае если при разрешении Конфликтной ситуации Стороны не согласились с з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ключением комиссии по Конфликтной ситуации, они могут передать возникший между ними спор, связанный с применением ЭП, на рассмотрение Арбитражного суда Саратовской области в установленном п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рядке.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6. Прочие условия.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6.1. Электронный документ порождает обязательства Сторон по настоящему Договору, если он надлежащим образом оформлен передающей Стороной, подписан ЭП, передан по АС, а принимающей Ст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роной получен, проверен и принят к исполнению. Свидетельством того, что электронный платежный д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кумент принят к исполнению, является соответствующее изменение статуса д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кумента в АС у Стороны.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ind w:firstLine="709"/>
        <w:jc w:val="both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b/>
          <w:bCs/>
          <w:sz w:val="20"/>
          <w:szCs w:val="20"/>
          <w:highlight w:val="none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7. Срок действия договора.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9"/>
        <w:ind w:lef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7.1. Настоящий Договор вступает в силу со дня его подписания сторонами и действует по 31 декабря 20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2__</w:t>
      </w:r>
      <w:r>
        <w:rPr>
          <w:rFonts w:ascii="PT Astra Serif" w:hAnsi="PT Astra Serif" w:cs="PT Astra Serif"/>
          <w:sz w:val="20"/>
          <w:szCs w:val="20"/>
        </w:rPr>
        <w:t xml:space="preserve"> года.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7.2. Настоящий Договор может быть расторгнут по инициативе любой Стороны с предупреждением другой Ст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роны не менее чем за десять календарных дней.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9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7.3. Действие настоящего Договора продлевается на очередной финансовый год, если не менее чем за десять календарных дней до истечения срока действия настоящего Договора ни одна из Сторон не заявит в уст</w:t>
      </w:r>
      <w:r>
        <w:rPr>
          <w:rFonts w:ascii="PT Astra Serif" w:hAnsi="PT Astra Serif" w:cs="PT Astra Serif"/>
          <w:sz w:val="20"/>
          <w:szCs w:val="20"/>
        </w:rPr>
        <w:t xml:space="preserve">а</w:t>
      </w:r>
      <w:r>
        <w:rPr>
          <w:rFonts w:ascii="PT Astra Serif" w:hAnsi="PT Astra Serif" w:cs="PT Astra Serif"/>
          <w:sz w:val="20"/>
          <w:szCs w:val="20"/>
        </w:rPr>
        <w:t xml:space="preserve">новленном порядке о его расторжении.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86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7.4. Все изменения настоящего Договора производятся по соглашению Ст</w:t>
      </w:r>
      <w:r>
        <w:rPr>
          <w:rFonts w:ascii="PT Astra Serif" w:hAnsi="PT Astra Serif" w:cs="PT Astra Serif"/>
          <w:sz w:val="20"/>
          <w:szCs w:val="20"/>
        </w:rPr>
        <w:t xml:space="preserve">о</w:t>
      </w:r>
      <w:r>
        <w:rPr>
          <w:rFonts w:ascii="PT Astra Serif" w:hAnsi="PT Astra Serif" w:cs="PT Astra Serif"/>
          <w:sz w:val="20"/>
          <w:szCs w:val="20"/>
        </w:rPr>
        <w:t xml:space="preserve">рон и действительны в том случае, если они составлены в письменном виде в форме дополнительного соглашения к настоящему Договору.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86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7.5. Настоящий Договор составлен в двух экземплярах, каждый из которых является по</w:t>
      </w:r>
      <w:r>
        <w:rPr>
          <w:rFonts w:ascii="PT Astra Serif" w:hAnsi="PT Astra Serif" w:cs="PT Astra Serif"/>
          <w:sz w:val="20"/>
          <w:szCs w:val="20"/>
        </w:rPr>
        <w:t xml:space="preserve">д</w:t>
      </w:r>
      <w:r>
        <w:rPr>
          <w:rFonts w:ascii="PT Astra Serif" w:hAnsi="PT Astra Serif" w:cs="PT Astra Serif"/>
          <w:sz w:val="20"/>
          <w:szCs w:val="20"/>
        </w:rPr>
        <w:t xml:space="preserve">линным и имеет одинаковую юридическую силу, по одному экземпляру для каждой Стороны.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80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80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8. Корреспонденция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20"/>
        <w:jc w:val="both"/>
        <w:rPr>
          <w:rFonts w:ascii="PT Astra Serif" w:hAnsi="PT Astra Serif" w:cs="PT Astra Serif"/>
          <w:bCs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8.1. </w:t>
      </w:r>
      <w:r>
        <w:rPr>
          <w:rFonts w:ascii="PT Astra Serif" w:hAnsi="PT Astra Serif" w:cs="PT Astra Serif"/>
          <w:bCs/>
          <w:sz w:val="20"/>
          <w:szCs w:val="20"/>
        </w:rPr>
        <w:t xml:space="preserve">Официальная корреспонденция Сторон по вопросам настоящего Договора будет осуществляться на русском языке с обязательн</w:t>
      </w:r>
      <w:r>
        <w:rPr>
          <w:rFonts w:ascii="PT Astra Serif" w:hAnsi="PT Astra Serif" w:cs="PT Astra Serif"/>
          <w:bCs/>
          <w:sz w:val="20"/>
          <w:szCs w:val="20"/>
        </w:rPr>
        <w:t xml:space="preserve">ым указанием реквизитов настоящего Договора по почте, телексу или телефаксу в соответствии с обычной практикой и существующими нормами. Корреспонденция, переданная по телефаксу в обязательном порядке подлежит направлению с нарочным или почтой (заказным пис</w:t>
      </w:r>
      <w:r>
        <w:rPr>
          <w:rFonts w:ascii="PT Astra Serif" w:hAnsi="PT Astra Serif" w:cs="PT Astra Serif"/>
          <w:bCs/>
          <w:sz w:val="20"/>
          <w:szCs w:val="20"/>
        </w:rPr>
        <w:t xml:space="preserve">ь</w:t>
      </w:r>
      <w:r>
        <w:rPr>
          <w:rFonts w:ascii="PT Astra Serif" w:hAnsi="PT Astra Serif" w:cs="PT Astra Serif"/>
          <w:bCs/>
          <w:sz w:val="20"/>
          <w:szCs w:val="20"/>
        </w:rPr>
        <w:t xml:space="preserve">мом с уведомлением о вручении).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82"/>
        <w:ind w:left="0" w:right="0" w:firstLine="720"/>
        <w:rPr>
          <w:rFonts w:ascii="PT Astra Serif" w:hAnsi="PT Astra Serif" w:cs="PT Astra Serif"/>
          <w:bCs/>
          <w:sz w:val="20"/>
          <w:szCs w:val="20"/>
        </w:rPr>
      </w:pPr>
      <w:r>
        <w:rPr>
          <w:rFonts w:ascii="PT Astra Serif" w:hAnsi="PT Astra Serif" w:cs="PT Astra Serif"/>
          <w:bCs/>
          <w:sz w:val="20"/>
          <w:szCs w:val="20"/>
        </w:rPr>
        <w:t xml:space="preserve">8.2. Любое уведомление, извещение, требование, запрос и другая корреспонденция считается п</w:t>
      </w:r>
      <w:r>
        <w:rPr>
          <w:rFonts w:ascii="PT Astra Serif" w:hAnsi="PT Astra Serif" w:cs="PT Astra Serif"/>
          <w:bCs/>
          <w:sz w:val="20"/>
          <w:szCs w:val="20"/>
        </w:rPr>
        <w:t xml:space="preserve">е</w:t>
      </w:r>
      <w:r>
        <w:rPr>
          <w:rFonts w:ascii="PT Astra Serif" w:hAnsi="PT Astra Serif" w:cs="PT Astra Serif"/>
          <w:bCs/>
          <w:sz w:val="20"/>
          <w:szCs w:val="20"/>
        </w:rPr>
        <w:t xml:space="preserve">реданной для получения ее адресатом, причем в случае ее передачи по телексу или телефаксу она считается полученной на следующий рабочий день после передачи, при условии, если отпр</w:t>
      </w:r>
      <w:r>
        <w:rPr>
          <w:rFonts w:ascii="PT Astra Serif" w:hAnsi="PT Astra Serif" w:cs="PT Astra Serif"/>
          <w:bCs/>
          <w:sz w:val="20"/>
          <w:szCs w:val="20"/>
        </w:rPr>
        <w:t xml:space="preserve">а</w:t>
      </w:r>
      <w:r>
        <w:rPr>
          <w:rFonts w:ascii="PT Astra Serif" w:hAnsi="PT Astra Serif" w:cs="PT Astra Serif"/>
          <w:bCs/>
          <w:sz w:val="20"/>
          <w:szCs w:val="20"/>
        </w:rPr>
        <w:t xml:space="preserve">вителем получен ответ получающей Стороны, а в случае передачи заказным почтовым отправлением с уведомлением о вручении, сообщ</w:t>
      </w:r>
      <w:r>
        <w:rPr>
          <w:rFonts w:ascii="PT Astra Serif" w:hAnsi="PT Astra Serif" w:cs="PT Astra Serif"/>
          <w:bCs/>
          <w:sz w:val="20"/>
          <w:szCs w:val="20"/>
        </w:rPr>
        <w:t xml:space="preserve">е</w:t>
      </w:r>
      <w:r>
        <w:rPr>
          <w:rFonts w:ascii="PT Astra Serif" w:hAnsi="PT Astra Serif" w:cs="PT Astra Serif"/>
          <w:bCs/>
          <w:sz w:val="20"/>
          <w:szCs w:val="20"/>
        </w:rPr>
        <w:t xml:space="preserve">ние будет считаться полученным с даты вручения его получат</w:t>
      </w:r>
      <w:r>
        <w:rPr>
          <w:rFonts w:ascii="PT Astra Serif" w:hAnsi="PT Astra Serif" w:cs="PT Astra Serif"/>
          <w:bCs/>
          <w:sz w:val="20"/>
          <w:szCs w:val="20"/>
        </w:rPr>
        <w:t xml:space="preserve">е</w:t>
      </w:r>
      <w:r>
        <w:rPr>
          <w:rFonts w:ascii="PT Astra Serif" w:hAnsi="PT Astra Serif" w:cs="PT Astra Serif"/>
          <w:bCs/>
          <w:sz w:val="20"/>
          <w:szCs w:val="20"/>
        </w:rPr>
        <w:t xml:space="preserve">лю.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8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   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8"/>
        <w:jc w:val="left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9. Юридические адреса и банковские реквизиты сторон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jc w:val="center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tbl>
      <w:tblPr>
        <w:tblW w:w="964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24"/>
        <w:gridCol w:w="4824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4" w:type="dxa"/>
            <w:vAlign w:val="top"/>
            <w:textDirection w:val="lrTb"/>
            <w:noWrap w:val="false"/>
          </w:tcPr>
          <w:p>
            <w:pPr>
              <w:pStyle w:val="881"/>
              <w:rPr>
                <w:rFonts w:ascii="PT Astra Serif" w:hAnsi="PT Astra Serif" w:cs="PT Astra Serif"/>
                <w:b/>
                <w:sz w:val="20"/>
                <w:szCs w:val="20"/>
              </w:rPr>
            </w:pPr>
            <w:r>
              <w:rPr>
                <w:rFonts w:ascii="PT Astra Serif" w:hAnsi="PT Astra Serif" w:cs="PT Astra Serif"/>
                <w:b/>
                <w:sz w:val="20"/>
                <w:szCs w:val="20"/>
              </w:rPr>
              <w:t xml:space="preserve">Организатор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4" w:type="dxa"/>
            <w:vAlign w:val="top"/>
            <w:textDirection w:val="lrTb"/>
            <w:noWrap w:val="false"/>
          </w:tcPr>
          <w:p>
            <w:pPr>
              <w:pStyle w:val="881"/>
              <w:rPr>
                <w:rFonts w:ascii="PT Astra Serif" w:hAnsi="PT Astra Serif" w:cs="PT Astra Serif"/>
                <w:b/>
                <w:sz w:val="20"/>
                <w:szCs w:val="20"/>
                <w:highlight w:val="yellow"/>
              </w:rPr>
            </w:pPr>
            <w:r>
              <w:rPr>
                <w:rFonts w:ascii="PT Astra Serif" w:hAnsi="PT Astra Serif" w:cs="PT Astra Serif"/>
                <w:b/>
                <w:sz w:val="20"/>
                <w:szCs w:val="20"/>
                <w:highlight w:val="yellow"/>
              </w:rPr>
              <w:t xml:space="preserve">Участник</w:t>
            </w:r>
            <w:r>
              <w:rPr>
                <w:highlight w:val="yellow"/>
              </w:rPr>
            </w:r>
            <w:r/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4" w:type="dxa"/>
            <w:vAlign w:val="top"/>
            <w:textDirection w:val="lrTb"/>
            <w:noWrap w:val="false"/>
          </w:tcPr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Министерство финансов Саратовской области 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ИНН 6450030341, КПП 645001001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ОГРН 1036405003227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Местонахождение/юридический адрес: 410042 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г. Саратов, ул. Московская, 72 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Банковские реквизиты: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р/счет 03221643630000006000, 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к/с 40102810845370000052, 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л/с 02602002750, л/с 005010011, 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Отделение Саратов//УФК по Саратовской области  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г. Саратов</w:t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БИК 016311121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Тел/факс: (8452) 26-41-86/27-33-55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4" w:type="dxa"/>
            <w:vAlign w:val="top"/>
            <w:textDirection w:val="lrTb"/>
            <w:noWrap w:val="false"/>
          </w:tcPr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  <w:highlight w:val="yellow"/>
              </w:rPr>
            </w:pPr>
            <w:r>
              <w:rPr>
                <w:rFonts w:ascii="PT Astra Serif" w:hAnsi="PT Astra Serif" w:cs="PT Astra Serif"/>
                <w:sz w:val="20"/>
                <w:szCs w:val="20"/>
                <w:highlight w:val="yellow"/>
              </w:rPr>
              <w:t xml:space="preserve">___________________________________________________________________________________________________________________</w:t>
            </w:r>
            <w:r>
              <w:rPr>
                <w:rFonts w:ascii="PT Astra Serif" w:hAnsi="PT Astra Serif" w:cs="PT Astra Serif"/>
                <w:sz w:val="20"/>
                <w:szCs w:val="20"/>
                <w:highlight w:val="yellow"/>
              </w:rPr>
      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PT Astra Serif" w:hAnsi="PT Astra Serif" w:cs="PT Astra Serif"/>
                <w:sz w:val="20"/>
                <w:szCs w:val="20"/>
                <w:highlight w:val="yellow"/>
              </w:rPr>
              <w:t xml:space="preserve">______________________________</w:t>
            </w:r>
            <w:r>
              <w:rPr>
                <w:rFonts w:ascii="PT Astra Serif" w:hAnsi="PT Astra Serif" w:cs="PT Astra Serif"/>
                <w:sz w:val="20"/>
                <w:szCs w:val="20"/>
                <w:highlight w:val="yellow"/>
              </w:rPr>
              <w:t xml:space="preserve">_________</w:t>
            </w:r>
            <w:r>
              <w:rPr>
                <w:highlight w:val="yellow"/>
              </w:rPr>
            </w:r>
            <w:r/>
          </w:p>
        </w:tc>
      </w:tr>
    </w:tbl>
    <w:p>
      <w:pPr>
        <w:pStyle w:val="872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  <w:lang w:val="en-US"/>
        </w:rPr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10. Подписи сторон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872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/>
    </w:p>
    <w:tbl>
      <w:tblPr>
        <w:tblW w:w="964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24"/>
        <w:gridCol w:w="4824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4" w:type="dxa"/>
            <w:vAlign w:val="top"/>
            <w:textDirection w:val="lrTb"/>
            <w:noWrap w:val="false"/>
          </w:tcPr>
          <w:p>
            <w:pPr>
              <w:pStyle w:val="872"/>
              <w:rPr>
                <w:rFonts w:ascii="PT Astra Serif" w:hAnsi="PT Astra Serif" w:cs="PT Astra Serif"/>
                <w:b/>
                <w:sz w:val="20"/>
                <w:szCs w:val="20"/>
              </w:rPr>
            </w:pPr>
            <w:r>
              <w:rPr>
                <w:rFonts w:ascii="PT Astra Serif" w:hAnsi="PT Astra Serif" w:cs="PT Astra Serif"/>
                <w:b/>
                <w:sz w:val="20"/>
                <w:szCs w:val="20"/>
              </w:rPr>
              <w:t xml:space="preserve">От Организатора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4" w:type="dxa"/>
            <w:vAlign w:val="top"/>
            <w:textDirection w:val="lrTb"/>
            <w:noWrap w:val="false"/>
          </w:tcPr>
          <w:p>
            <w:pPr>
              <w:pStyle w:val="872"/>
              <w:rPr>
                <w:rFonts w:ascii="PT Astra Serif" w:hAnsi="PT Astra Serif" w:cs="PT Astra Serif"/>
                <w:b/>
                <w:sz w:val="20"/>
                <w:szCs w:val="20"/>
              </w:rPr>
            </w:pPr>
            <w:r>
              <w:rPr>
                <w:rFonts w:ascii="PT Astra Serif" w:hAnsi="PT Astra Serif" w:cs="PT Astra Serif"/>
                <w:b/>
                <w:sz w:val="20"/>
                <w:szCs w:val="20"/>
              </w:rPr>
              <w:t xml:space="preserve">От Участника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4" w:type="dxa"/>
            <w:vAlign w:val="top"/>
            <w:textDirection w:val="lrTb"/>
            <w:noWrap w:val="false"/>
          </w:tcPr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Заместитель министра финансов Саратовской области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_____________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___ / 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Е.А. Петькин 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/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«___» ________________ 20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2_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 года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                    м.п.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4" w:type="dxa"/>
            <w:vAlign w:val="top"/>
            <w:textDirection w:val="lrTb"/>
            <w:noWrap w:val="false"/>
          </w:tcPr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  <w:highlight w:val="yellow"/>
              </w:rPr>
              <w:t xml:space="preserve">________________________________</w:t>
            </w:r>
            <w:r>
              <w:rPr>
                <w:rFonts w:ascii="PT Astra Serif" w:hAnsi="PT Astra Serif" w:cs="PT Astra Serif"/>
                <w:sz w:val="20"/>
                <w:szCs w:val="20"/>
                <w:highlight w:val="yellow"/>
              </w:rPr>
            </w:r>
            <w:r/>
          </w:p>
          <w:p>
            <w:pPr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  <w:highlight w:val="non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none"/>
              </w:rPr>
            </w:r>
            <w:r/>
          </w:p>
          <w:p>
            <w:pPr>
              <w:rPr>
                <w:rFonts w:ascii="PT Astra Serif" w:hAnsi="PT Astra Serif" w:cs="PT Astra Serif"/>
                <w:sz w:val="20"/>
                <w:szCs w:val="20"/>
                <w:highlight w:val="yellow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___________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______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_ </w:t>
            </w:r>
            <w:r>
              <w:rPr>
                <w:rFonts w:ascii="PT Astra Serif" w:hAnsi="PT Astra Serif" w:cs="PT Astra Serif"/>
                <w:sz w:val="20"/>
                <w:szCs w:val="20"/>
                <w:highlight w:val="yellow"/>
              </w:rPr>
              <w:t xml:space="preserve">/___________/</w:t>
            </w:r>
            <w:r>
              <w:rPr>
                <w:highlight w:val="yellow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  <w:lang w:val="en-US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«___» ________________ 20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2_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 года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872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                    м.п.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</w:r>
      <w:r/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624" w:right="709" w:bottom="1134" w:left="1276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3"/>
      <w:rPr>
        <w:rStyle w:val="884"/>
      </w:rPr>
      <w:framePr w:wrap="around" w:vAnchor="text" w:hAnchor="margin" w:xAlign="center" w:y="1"/>
    </w:pPr>
    <w:r>
      <w:rPr>
        <w:rStyle w:val="884"/>
      </w:rPr>
      <w:fldChar w:fldCharType="begin"/>
    </w:r>
    <w:r>
      <w:rPr>
        <w:rStyle w:val="884"/>
      </w:rPr>
      <w:instrText xml:space="preserve">PAGE  </w:instrText>
    </w:r>
    <w:r>
      <w:rPr>
        <w:rStyle w:val="884"/>
      </w:rPr>
      <w:fldChar w:fldCharType="separate"/>
    </w:r>
    <w:r>
      <w:rPr>
        <w:rStyle w:val="884"/>
      </w:rPr>
      <w:t xml:space="preserve">2</w:t>
    </w:r>
    <w:r>
      <w:rPr>
        <w:rStyle w:val="884"/>
      </w:rPr>
      <w:fldChar w:fldCharType="end"/>
    </w:r>
    <w:r>
      <w:rPr>
        <w:rStyle w:val="884"/>
      </w:rPr>
    </w:r>
    <w:r/>
  </w:p>
  <w:p>
    <w:pPr>
      <w:pStyle w:val="88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3"/>
      <w:rPr>
        <w:rStyle w:val="884"/>
      </w:rPr>
      <w:framePr w:wrap="around" w:vAnchor="text" w:hAnchor="margin" w:xAlign="center" w:y="1"/>
    </w:pPr>
    <w:r>
      <w:rPr>
        <w:rStyle w:val="884"/>
      </w:rPr>
      <w:fldChar w:fldCharType="begin"/>
    </w:r>
    <w:r>
      <w:rPr>
        <w:rStyle w:val="884"/>
      </w:rPr>
      <w:instrText xml:space="preserve">PAGE  </w:instrText>
    </w:r>
    <w:r>
      <w:rPr>
        <w:rStyle w:val="884"/>
      </w:rPr>
      <w:fldChar w:fldCharType="end"/>
    </w:r>
    <w:r>
      <w:rPr>
        <w:rStyle w:val="884"/>
      </w:rPr>
    </w:r>
    <w:r/>
  </w:p>
  <w:p>
    <w:pPr>
      <w:pStyle w:val="883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72"/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72"/>
        <w:ind w:left="2136" w:hanging="360"/>
        <w:tabs>
          <w:tab w:val="num" w:pos="213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72"/>
        <w:ind w:left="2856" w:hanging="360"/>
        <w:tabs>
          <w:tab w:val="num" w:pos="285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72"/>
        <w:ind w:left="3576" w:hanging="360"/>
        <w:tabs>
          <w:tab w:val="num" w:pos="357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72"/>
        <w:ind w:left="4296" w:hanging="360"/>
        <w:tabs>
          <w:tab w:val="num" w:pos="429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72"/>
        <w:ind w:left="5016" w:hanging="360"/>
        <w:tabs>
          <w:tab w:val="num" w:pos="501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72"/>
        <w:ind w:left="5736" w:hanging="360"/>
        <w:tabs>
          <w:tab w:val="num" w:pos="573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72"/>
        <w:ind w:left="6456" w:hanging="360"/>
        <w:tabs>
          <w:tab w:val="num" w:pos="645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72"/>
        <w:ind w:left="7176" w:hanging="360"/>
        <w:tabs>
          <w:tab w:val="num" w:pos="717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72"/>
        <w:ind w:left="7896" w:hanging="360"/>
        <w:tabs>
          <w:tab w:val="num" w:pos="7896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72"/>
        <w:ind w:left="2124" w:hanging="360"/>
        <w:tabs>
          <w:tab w:val="num" w:pos="2124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72"/>
        <w:ind w:left="2844" w:hanging="360"/>
        <w:tabs>
          <w:tab w:val="num" w:pos="2844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72"/>
        <w:ind w:left="3564" w:hanging="360"/>
        <w:tabs>
          <w:tab w:val="num" w:pos="3564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72"/>
        <w:ind w:left="4284" w:hanging="360"/>
        <w:tabs>
          <w:tab w:val="num" w:pos="4284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72"/>
        <w:ind w:left="5004" w:hanging="360"/>
        <w:tabs>
          <w:tab w:val="num" w:pos="5004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72"/>
        <w:ind w:left="5724" w:hanging="360"/>
        <w:tabs>
          <w:tab w:val="num" w:pos="5724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72"/>
        <w:ind w:left="6444" w:hanging="360"/>
        <w:tabs>
          <w:tab w:val="num" w:pos="6444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72"/>
        <w:ind w:left="7164" w:hanging="360"/>
        <w:tabs>
          <w:tab w:val="num" w:pos="7164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72"/>
        <w:ind w:left="7884" w:hanging="360"/>
        <w:tabs>
          <w:tab w:val="num" w:pos="7884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72"/>
        <w:ind w:left="2124" w:hanging="360"/>
        <w:tabs>
          <w:tab w:val="num" w:pos="2124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72"/>
        <w:ind w:left="2844" w:hanging="360"/>
        <w:tabs>
          <w:tab w:val="num" w:pos="2844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72"/>
        <w:ind w:left="3564" w:hanging="360"/>
        <w:tabs>
          <w:tab w:val="num" w:pos="3564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72"/>
        <w:ind w:left="4284" w:hanging="360"/>
        <w:tabs>
          <w:tab w:val="num" w:pos="4284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72"/>
        <w:ind w:left="5004" w:hanging="360"/>
        <w:tabs>
          <w:tab w:val="num" w:pos="5004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72"/>
        <w:ind w:left="5724" w:hanging="360"/>
        <w:tabs>
          <w:tab w:val="num" w:pos="5724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72"/>
        <w:ind w:left="6444" w:hanging="360"/>
        <w:tabs>
          <w:tab w:val="num" w:pos="6444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72"/>
        <w:ind w:left="7164" w:hanging="360"/>
        <w:tabs>
          <w:tab w:val="num" w:pos="7164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72"/>
        <w:ind w:left="7884" w:hanging="360"/>
        <w:tabs>
          <w:tab w:val="num" w:pos="7884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72"/>
        <w:ind w:left="2124" w:hanging="360"/>
        <w:tabs>
          <w:tab w:val="num" w:pos="2124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72"/>
        <w:ind w:left="2844" w:hanging="360"/>
        <w:tabs>
          <w:tab w:val="num" w:pos="2844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72"/>
        <w:ind w:left="3564" w:hanging="360"/>
        <w:tabs>
          <w:tab w:val="num" w:pos="3564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72"/>
        <w:ind w:left="4284" w:hanging="360"/>
        <w:tabs>
          <w:tab w:val="num" w:pos="4284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72"/>
        <w:ind w:left="5004" w:hanging="360"/>
        <w:tabs>
          <w:tab w:val="num" w:pos="5004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72"/>
        <w:ind w:left="5724" w:hanging="360"/>
        <w:tabs>
          <w:tab w:val="num" w:pos="5724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72"/>
        <w:ind w:left="6444" w:hanging="360"/>
        <w:tabs>
          <w:tab w:val="num" w:pos="6444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72"/>
        <w:ind w:left="7164" w:hanging="360"/>
        <w:tabs>
          <w:tab w:val="num" w:pos="7164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72"/>
        <w:ind w:left="7884" w:hanging="360"/>
        <w:tabs>
          <w:tab w:val="num" w:pos="7884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72"/>
        <w:ind w:left="2124" w:hanging="360"/>
        <w:tabs>
          <w:tab w:val="num" w:pos="2124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72"/>
        <w:ind w:left="2844" w:hanging="360"/>
        <w:tabs>
          <w:tab w:val="num" w:pos="2844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72"/>
        <w:ind w:left="3564" w:hanging="360"/>
        <w:tabs>
          <w:tab w:val="num" w:pos="3564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72"/>
        <w:ind w:left="4284" w:hanging="360"/>
        <w:tabs>
          <w:tab w:val="num" w:pos="4284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72"/>
        <w:ind w:left="5004" w:hanging="360"/>
        <w:tabs>
          <w:tab w:val="num" w:pos="5004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72"/>
        <w:ind w:left="5724" w:hanging="360"/>
        <w:tabs>
          <w:tab w:val="num" w:pos="5724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72"/>
        <w:ind w:left="6444" w:hanging="360"/>
        <w:tabs>
          <w:tab w:val="num" w:pos="6444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72"/>
        <w:ind w:left="7164" w:hanging="360"/>
        <w:tabs>
          <w:tab w:val="num" w:pos="7164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72"/>
        <w:ind w:left="7884" w:hanging="360"/>
        <w:tabs>
          <w:tab w:val="num" w:pos="7884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72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872"/>
        <w:ind w:left="708" w:hanging="360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pStyle w:val="872"/>
        <w:ind w:left="1416" w:hanging="720"/>
        <w:tabs>
          <w:tab w:val="num" w:pos="1416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872"/>
        <w:ind w:left="1764" w:hanging="720"/>
        <w:tabs>
          <w:tab w:val="num" w:pos="17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872"/>
        <w:ind w:left="2472" w:hanging="1080"/>
        <w:tabs>
          <w:tab w:val="num" w:pos="2472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872"/>
        <w:ind w:left="2820" w:hanging="1080"/>
        <w:tabs>
          <w:tab w:val="num" w:pos="282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872"/>
        <w:ind w:left="3528" w:hanging="1440"/>
        <w:tabs>
          <w:tab w:val="num" w:pos="3528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872"/>
        <w:ind w:left="3876" w:hanging="1440"/>
        <w:tabs>
          <w:tab w:val="num" w:pos="3876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872"/>
        <w:ind w:left="4584" w:hanging="1800"/>
        <w:tabs>
          <w:tab w:val="num" w:pos="4584" w:leader="none"/>
        </w:tabs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2"/>
    <w:next w:val="872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2"/>
    <w:next w:val="872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2"/>
    <w:next w:val="872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2"/>
    <w:next w:val="872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2"/>
    <w:next w:val="872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2"/>
    <w:next w:val="872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2"/>
    <w:next w:val="872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2"/>
    <w:next w:val="872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2"/>
    <w:next w:val="872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872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72"/>
    <w:next w:val="872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link w:val="714"/>
    <w:uiPriority w:val="10"/>
    <w:rPr>
      <w:sz w:val="48"/>
      <w:szCs w:val="48"/>
    </w:rPr>
  </w:style>
  <w:style w:type="paragraph" w:styleId="716">
    <w:name w:val="Subtitle"/>
    <w:basedOn w:val="872"/>
    <w:next w:val="872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link w:val="716"/>
    <w:uiPriority w:val="11"/>
    <w:rPr>
      <w:sz w:val="24"/>
      <w:szCs w:val="24"/>
    </w:rPr>
  </w:style>
  <w:style w:type="paragraph" w:styleId="718">
    <w:name w:val="Quote"/>
    <w:basedOn w:val="872"/>
    <w:next w:val="872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72"/>
    <w:next w:val="872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paragraph" w:styleId="722">
    <w:name w:val="Header"/>
    <w:basedOn w:val="872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Header Char"/>
    <w:link w:val="722"/>
    <w:uiPriority w:val="99"/>
  </w:style>
  <w:style w:type="paragraph" w:styleId="724">
    <w:name w:val="Footer"/>
    <w:basedOn w:val="872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Footer Char"/>
    <w:link w:val="724"/>
    <w:uiPriority w:val="99"/>
  </w:style>
  <w:style w:type="paragraph" w:styleId="726">
    <w:name w:val="Caption"/>
    <w:basedOn w:val="872"/>
    <w:next w:val="87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7">
    <w:name w:val="Caption Char"/>
    <w:basedOn w:val="726"/>
    <w:link w:val="724"/>
    <w:uiPriority w:val="99"/>
  </w:style>
  <w:style w:type="table" w:styleId="72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4">
    <w:name w:val="Hyperlink"/>
    <w:uiPriority w:val="99"/>
    <w:unhideWhenUsed/>
    <w:rPr>
      <w:color w:val="0000ff" w:themeColor="hyperlink"/>
      <w:u w:val="single"/>
    </w:rPr>
  </w:style>
  <w:style w:type="paragraph" w:styleId="855">
    <w:name w:val="footnote text"/>
    <w:basedOn w:val="872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>
    <w:name w:val="Footnote Text Char"/>
    <w:link w:val="855"/>
    <w:uiPriority w:val="99"/>
    <w:rPr>
      <w:sz w:val="18"/>
    </w:rPr>
  </w:style>
  <w:style w:type="character" w:styleId="857">
    <w:name w:val="footnote reference"/>
    <w:uiPriority w:val="99"/>
    <w:unhideWhenUsed/>
    <w:rPr>
      <w:vertAlign w:val="superscript"/>
    </w:rPr>
  </w:style>
  <w:style w:type="paragraph" w:styleId="858">
    <w:name w:val="endnote text"/>
    <w:basedOn w:val="872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>
    <w:name w:val="Endnote Text Char"/>
    <w:link w:val="858"/>
    <w:uiPriority w:val="99"/>
    <w:rPr>
      <w:sz w:val="20"/>
    </w:rPr>
  </w:style>
  <w:style w:type="character" w:styleId="860">
    <w:name w:val="endnote reference"/>
    <w:uiPriority w:val="99"/>
    <w:semiHidden/>
    <w:unhideWhenUsed/>
    <w:rPr>
      <w:vertAlign w:val="superscript"/>
    </w:rPr>
  </w:style>
  <w:style w:type="paragraph" w:styleId="861">
    <w:name w:val="toc 1"/>
    <w:basedOn w:val="872"/>
    <w:next w:val="872"/>
    <w:uiPriority w:val="39"/>
    <w:unhideWhenUsed/>
    <w:pPr>
      <w:ind w:left="0" w:right="0" w:firstLine="0"/>
      <w:spacing w:after="57"/>
    </w:pPr>
  </w:style>
  <w:style w:type="paragraph" w:styleId="862">
    <w:name w:val="toc 2"/>
    <w:basedOn w:val="872"/>
    <w:next w:val="872"/>
    <w:uiPriority w:val="39"/>
    <w:unhideWhenUsed/>
    <w:pPr>
      <w:ind w:left="283" w:right="0" w:firstLine="0"/>
      <w:spacing w:after="57"/>
    </w:pPr>
  </w:style>
  <w:style w:type="paragraph" w:styleId="863">
    <w:name w:val="toc 3"/>
    <w:basedOn w:val="872"/>
    <w:next w:val="872"/>
    <w:uiPriority w:val="39"/>
    <w:unhideWhenUsed/>
    <w:pPr>
      <w:ind w:left="567" w:right="0" w:firstLine="0"/>
      <w:spacing w:after="57"/>
    </w:pPr>
  </w:style>
  <w:style w:type="paragraph" w:styleId="864">
    <w:name w:val="toc 4"/>
    <w:basedOn w:val="872"/>
    <w:next w:val="872"/>
    <w:uiPriority w:val="39"/>
    <w:unhideWhenUsed/>
    <w:pPr>
      <w:ind w:left="850" w:right="0" w:firstLine="0"/>
      <w:spacing w:after="57"/>
    </w:pPr>
  </w:style>
  <w:style w:type="paragraph" w:styleId="865">
    <w:name w:val="toc 5"/>
    <w:basedOn w:val="872"/>
    <w:next w:val="872"/>
    <w:uiPriority w:val="39"/>
    <w:unhideWhenUsed/>
    <w:pPr>
      <w:ind w:left="1134" w:right="0" w:firstLine="0"/>
      <w:spacing w:after="57"/>
    </w:pPr>
  </w:style>
  <w:style w:type="paragraph" w:styleId="866">
    <w:name w:val="toc 6"/>
    <w:basedOn w:val="872"/>
    <w:next w:val="872"/>
    <w:uiPriority w:val="39"/>
    <w:unhideWhenUsed/>
    <w:pPr>
      <w:ind w:left="1417" w:right="0" w:firstLine="0"/>
      <w:spacing w:after="57"/>
    </w:pPr>
  </w:style>
  <w:style w:type="paragraph" w:styleId="867">
    <w:name w:val="toc 7"/>
    <w:basedOn w:val="872"/>
    <w:next w:val="872"/>
    <w:uiPriority w:val="39"/>
    <w:unhideWhenUsed/>
    <w:pPr>
      <w:ind w:left="1701" w:right="0" w:firstLine="0"/>
      <w:spacing w:after="57"/>
    </w:pPr>
  </w:style>
  <w:style w:type="paragraph" w:styleId="868">
    <w:name w:val="toc 8"/>
    <w:basedOn w:val="872"/>
    <w:next w:val="872"/>
    <w:uiPriority w:val="39"/>
    <w:unhideWhenUsed/>
    <w:pPr>
      <w:ind w:left="1984" w:right="0" w:firstLine="0"/>
      <w:spacing w:after="57"/>
    </w:pPr>
  </w:style>
  <w:style w:type="paragraph" w:styleId="869">
    <w:name w:val="toc 9"/>
    <w:basedOn w:val="872"/>
    <w:next w:val="872"/>
    <w:uiPriority w:val="39"/>
    <w:unhideWhenUsed/>
    <w:pPr>
      <w:ind w:left="2268" w:right="0" w:firstLine="0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872"/>
    <w:next w:val="872"/>
    <w:uiPriority w:val="99"/>
    <w:unhideWhenUsed/>
    <w:pPr>
      <w:spacing w:after="0" w:afterAutospacing="0"/>
    </w:pPr>
  </w:style>
  <w:style w:type="paragraph" w:styleId="872" w:default="1">
    <w:name w:val="Normal"/>
    <w:next w:val="872"/>
    <w:link w:val="872"/>
    <w:qFormat/>
    <w:rPr>
      <w:sz w:val="24"/>
      <w:szCs w:val="24"/>
      <w:lang w:val="ru-RU" w:eastAsia="ru-RU" w:bidi="ar-SA"/>
    </w:rPr>
  </w:style>
  <w:style w:type="character" w:styleId="873">
    <w:name w:val="Основной шрифт абзаца"/>
    <w:next w:val="873"/>
    <w:link w:val="872"/>
    <w:semiHidden/>
  </w:style>
  <w:style w:type="table" w:styleId="874">
    <w:name w:val="Обычная таблица"/>
    <w:next w:val="874"/>
    <w:link w:val="872"/>
    <w:semiHidden/>
    <w:tblPr/>
  </w:style>
  <w:style w:type="numbering" w:styleId="875">
    <w:name w:val="Нет списка"/>
    <w:next w:val="875"/>
    <w:link w:val="872"/>
    <w:semiHidden/>
  </w:style>
  <w:style w:type="paragraph" w:styleId="876">
    <w:name w:val="заголовок 2"/>
    <w:basedOn w:val="872"/>
    <w:next w:val="872"/>
    <w:link w:val="872"/>
    <w:pPr>
      <w:jc w:val="both"/>
      <w:keepNext/>
      <w:widowControl w:val="off"/>
    </w:pPr>
    <w:rPr>
      <w:b/>
      <w:szCs w:val="20"/>
    </w:rPr>
  </w:style>
  <w:style w:type="paragraph" w:styleId="877">
    <w:name w:val="Название"/>
    <w:basedOn w:val="872"/>
    <w:next w:val="877"/>
    <w:link w:val="872"/>
    <w:qFormat/>
    <w:pPr>
      <w:jc w:val="center"/>
      <w:spacing w:line="264" w:lineRule="auto"/>
      <w:widowControl w:val="off"/>
      <w:outlineLvl w:val="0"/>
    </w:pPr>
    <w:rPr>
      <w:b/>
      <w:caps/>
      <w:szCs w:val="20"/>
    </w:rPr>
  </w:style>
  <w:style w:type="paragraph" w:styleId="878">
    <w:name w:val="Основной текст с отступом"/>
    <w:basedOn w:val="872"/>
    <w:next w:val="878"/>
    <w:link w:val="872"/>
    <w:pPr>
      <w:ind w:left="708"/>
    </w:pPr>
  </w:style>
  <w:style w:type="paragraph" w:styleId="879">
    <w:name w:val="Основной текст с отступом 2"/>
    <w:basedOn w:val="872"/>
    <w:next w:val="879"/>
    <w:link w:val="872"/>
    <w:pPr>
      <w:ind w:left="708"/>
      <w:jc w:val="both"/>
    </w:pPr>
  </w:style>
  <w:style w:type="paragraph" w:styleId="880">
    <w:name w:val="Текст"/>
    <w:basedOn w:val="872"/>
    <w:next w:val="880"/>
    <w:link w:val="872"/>
    <w:rPr>
      <w:rFonts w:ascii="Courier New" w:hAnsi="Courier New" w:cs="Courier New"/>
      <w:sz w:val="20"/>
      <w:szCs w:val="20"/>
    </w:rPr>
  </w:style>
  <w:style w:type="paragraph" w:styleId="881">
    <w:name w:val="Heading"/>
    <w:next w:val="881"/>
    <w:link w:val="872"/>
    <w:rPr>
      <w:sz w:val="26"/>
      <w:szCs w:val="26"/>
      <w:lang w:val="ru-RU" w:eastAsia="ru-RU" w:bidi="ar-SA"/>
    </w:rPr>
  </w:style>
  <w:style w:type="paragraph" w:styleId="882">
    <w:name w:val="Цитата"/>
    <w:basedOn w:val="872"/>
    <w:next w:val="882"/>
    <w:link w:val="872"/>
    <w:pPr>
      <w:ind w:left="-284" w:right="-569" w:firstLine="284"/>
      <w:jc w:val="both"/>
    </w:pPr>
    <w:rPr>
      <w:rFonts w:ascii="Arial" w:hAnsi="Arial" w:cs="Arial"/>
      <w:sz w:val="22"/>
      <w:szCs w:val="20"/>
    </w:rPr>
  </w:style>
  <w:style w:type="paragraph" w:styleId="883">
    <w:name w:val="Верхний колонтитул"/>
    <w:basedOn w:val="872"/>
    <w:next w:val="883"/>
    <w:link w:val="872"/>
    <w:pPr>
      <w:tabs>
        <w:tab w:val="center" w:pos="4677" w:leader="none"/>
        <w:tab w:val="right" w:pos="9355" w:leader="none"/>
      </w:tabs>
    </w:pPr>
  </w:style>
  <w:style w:type="character" w:styleId="884">
    <w:name w:val="Номер страницы"/>
    <w:basedOn w:val="873"/>
    <w:next w:val="884"/>
    <w:link w:val="872"/>
  </w:style>
  <w:style w:type="paragraph" w:styleId="885">
    <w:name w:val="Текст выноски"/>
    <w:basedOn w:val="872"/>
    <w:next w:val="885"/>
    <w:link w:val="872"/>
    <w:semiHidden/>
    <w:rPr>
      <w:rFonts w:ascii="Tahoma" w:hAnsi="Tahoma" w:cs="Tahoma"/>
      <w:sz w:val="16"/>
      <w:szCs w:val="16"/>
    </w:rPr>
  </w:style>
  <w:style w:type="paragraph" w:styleId="886">
    <w:name w:val="Основной текст с отступом 3"/>
    <w:basedOn w:val="872"/>
    <w:next w:val="886"/>
    <w:link w:val="872"/>
    <w:pPr>
      <w:ind w:firstLine="709"/>
      <w:jc w:val="both"/>
    </w:pPr>
    <w:rPr>
      <w:sz w:val="22"/>
      <w:szCs w:val="22"/>
    </w:rPr>
  </w:style>
  <w:style w:type="character" w:styleId="887" w:default="1">
    <w:name w:val="Default Paragraph Font"/>
    <w:uiPriority w:val="1"/>
    <w:semiHidden/>
    <w:unhideWhenUsed/>
  </w:style>
  <w:style w:type="numbering" w:styleId="888" w:default="1">
    <w:name w:val="No List"/>
    <w:uiPriority w:val="99"/>
    <w:semiHidden/>
    <w:unhideWhenUsed/>
  </w:style>
  <w:style w:type="table" w:styleId="88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Р7-Офис/7.2.1.14</Application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 ___________</dc:title>
  <dc:creator>noskov</dc:creator>
  <cp:revision>20</cp:revision>
  <dcterms:created xsi:type="dcterms:W3CDTF">2012-01-20T11:35:00Z</dcterms:created>
  <dcterms:modified xsi:type="dcterms:W3CDTF">2023-02-16T10:46:56Z</dcterms:modified>
  <cp:version>917504</cp:version>
</cp:coreProperties>
</file>